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1238" w:rsidRPr="00DF1238" w:rsidRDefault="00DF1238" w:rsidP="00DF1238">
      <w:pPr>
        <w:pStyle w:val="Title"/>
        <w:rPr>
          <w:color w:val="auto"/>
          <w:sz w:val="60"/>
          <w:szCs w:val="60"/>
        </w:rPr>
      </w:pPr>
      <w:bookmarkStart w:id="0" w:name="_GoBack"/>
      <w:bookmarkEnd w:id="0"/>
      <w:r w:rsidRPr="00DF1238">
        <w:rPr>
          <w:color w:val="auto"/>
          <w:sz w:val="60"/>
          <w:szCs w:val="60"/>
        </w:rPr>
        <w:t>Healthy Waterways Strategy</w:t>
      </w:r>
    </w:p>
    <w:p w:rsidR="00DF1238" w:rsidRPr="00DF1238" w:rsidRDefault="00DF1238" w:rsidP="00DF1238">
      <w:pPr>
        <w:pStyle w:val="Title"/>
        <w:spacing w:before="600"/>
        <w:rPr>
          <w:color w:val="auto"/>
          <w:sz w:val="48"/>
          <w:szCs w:val="52"/>
        </w:rPr>
      </w:pPr>
      <w:r w:rsidRPr="00DF1238">
        <w:rPr>
          <w:color w:val="auto"/>
          <w:sz w:val="48"/>
          <w:szCs w:val="52"/>
        </w:rPr>
        <w:t>Stormwater Targets</w:t>
      </w:r>
    </w:p>
    <w:p w:rsidR="00DF1238" w:rsidRPr="00DF1238" w:rsidRDefault="00DF1238" w:rsidP="00DF1238">
      <w:pPr>
        <w:pStyle w:val="Subtitle"/>
        <w:rPr>
          <w:color w:val="auto"/>
        </w:rPr>
      </w:pPr>
      <w:r w:rsidRPr="00DF1238">
        <w:rPr>
          <w:color w:val="auto"/>
        </w:rPr>
        <w:t xml:space="preserve">Practitioners Note </w:t>
      </w:r>
    </w:p>
    <w:p w:rsidR="00DF1238" w:rsidRDefault="00DF1238" w:rsidP="00DF1238">
      <w:pPr>
        <w:pStyle w:val="Date"/>
        <w:rPr>
          <w:color w:val="auto"/>
        </w:rPr>
      </w:pPr>
      <w:r w:rsidRPr="00DF1238">
        <w:rPr>
          <w:color w:val="auto"/>
        </w:rPr>
        <w:t>July 2021</w:t>
      </w:r>
    </w:p>
    <w:p w:rsidR="00DF1238" w:rsidRPr="00DF1238" w:rsidRDefault="00DF1238" w:rsidP="00DF1238">
      <w:pPr>
        <w:pageBreakBefore/>
        <w:spacing w:before="1560" w:after="840" w:line="320" w:lineRule="atLeast"/>
        <w:rPr>
          <w:rFonts w:ascii="Verdana" w:eastAsia="MS Gothic" w:hAnsi="Verdana" w:cs="Times New Roman"/>
          <w:b/>
          <w:bCs/>
          <w:color w:val="00428B"/>
          <w:sz w:val="36"/>
          <w:szCs w:val="28"/>
          <w:lang w:eastAsia="en-AU"/>
        </w:rPr>
      </w:pPr>
      <w:r w:rsidRPr="00DF1238">
        <w:rPr>
          <w:rFonts w:ascii="Verdana" w:eastAsia="MS Gothic" w:hAnsi="Verdana" w:cs="Times New Roman"/>
          <w:b/>
          <w:bCs/>
          <w:color w:val="00428B"/>
          <w:sz w:val="36"/>
          <w:szCs w:val="28"/>
          <w:lang w:eastAsia="en-AU"/>
        </w:rPr>
        <w:lastRenderedPageBreak/>
        <w:t>Table of contents</w:t>
      </w:r>
    </w:p>
    <w:p w:rsidR="00DF1238" w:rsidRPr="00DF1238" w:rsidRDefault="00DF1238" w:rsidP="00DF1238">
      <w:pPr>
        <w:tabs>
          <w:tab w:val="left" w:pos="851"/>
          <w:tab w:val="right" w:leader="dot" w:pos="9639"/>
        </w:tabs>
        <w:spacing w:before="240" w:after="120" w:line="320" w:lineRule="atLeast"/>
        <w:rPr>
          <w:rFonts w:ascii="Verdana" w:eastAsia="MS Mincho" w:hAnsi="Verdana" w:cs="Times New Roman"/>
          <w:noProof/>
          <w:lang w:eastAsia="en-AU"/>
        </w:rPr>
      </w:pPr>
      <w:r w:rsidRPr="00DF1238">
        <w:rPr>
          <w:rFonts w:ascii="Verdana" w:eastAsia="Verdana" w:hAnsi="Verdana" w:cs="Times New Roman"/>
          <w:b/>
          <w:noProof/>
          <w:color w:val="0092D7"/>
          <w:sz w:val="24"/>
          <w:szCs w:val="28"/>
          <w:shd w:val="clear" w:color="auto" w:fill="E6E6E6"/>
        </w:rPr>
        <w:fldChar w:fldCharType="begin"/>
      </w:r>
      <w:r w:rsidRPr="00DF1238">
        <w:rPr>
          <w:rFonts w:ascii="Verdana" w:eastAsia="Verdana" w:hAnsi="Verdana" w:cs="Times New Roman"/>
          <w:b/>
          <w:noProof/>
          <w:color w:val="0092D7"/>
          <w:sz w:val="24"/>
          <w:szCs w:val="28"/>
        </w:rPr>
        <w:instrText xml:space="preserve"> TOC \o "1-3" \h \z \u </w:instrText>
      </w:r>
      <w:r w:rsidRPr="00DF1238">
        <w:rPr>
          <w:rFonts w:ascii="Verdana" w:eastAsia="Verdana" w:hAnsi="Verdana" w:cs="Times New Roman"/>
          <w:b/>
          <w:noProof/>
          <w:color w:val="0092D7"/>
          <w:sz w:val="24"/>
          <w:szCs w:val="28"/>
          <w:shd w:val="clear" w:color="auto" w:fill="E6E6E6"/>
        </w:rPr>
        <w:fldChar w:fldCharType="separate"/>
      </w:r>
      <w:hyperlink w:anchor="_Toc70415081" w:history="1">
        <w:r w:rsidRPr="00DF1238">
          <w:rPr>
            <w:rFonts w:ascii="Verdana" w:eastAsia="Verdana" w:hAnsi="Verdana" w:cs="Times New Roman"/>
            <w:b/>
            <w:noProof/>
            <w:color w:val="00428B"/>
            <w:sz w:val="24"/>
            <w:szCs w:val="24"/>
            <w:u w:val="single"/>
          </w:rPr>
          <w:t>Practitioners note</w:t>
        </w:r>
        <w:r w:rsidRPr="00DF1238">
          <w:rPr>
            <w:rFonts w:ascii="Verdana" w:eastAsia="Verdana" w:hAnsi="Verdana" w:cs="Times New Roman"/>
            <w:b/>
            <w:noProof/>
            <w:webHidden/>
            <w:color w:val="00428B"/>
            <w:sz w:val="24"/>
            <w:szCs w:val="24"/>
          </w:rPr>
          <w:tab/>
        </w:r>
        <w:r w:rsidRPr="00DF1238">
          <w:rPr>
            <w:rFonts w:ascii="Verdana" w:eastAsia="Verdana" w:hAnsi="Verdana" w:cs="Times New Roman"/>
            <w:b/>
            <w:noProof/>
            <w:webHidden/>
            <w:color w:val="00428B"/>
            <w:sz w:val="24"/>
            <w:szCs w:val="24"/>
          </w:rPr>
          <w:fldChar w:fldCharType="begin"/>
        </w:r>
        <w:r w:rsidRPr="00DF1238">
          <w:rPr>
            <w:rFonts w:ascii="Verdana" w:eastAsia="Verdana" w:hAnsi="Verdana" w:cs="Times New Roman"/>
            <w:b/>
            <w:noProof/>
            <w:webHidden/>
            <w:color w:val="00428B"/>
            <w:sz w:val="24"/>
            <w:szCs w:val="24"/>
          </w:rPr>
          <w:instrText xml:space="preserve"> PAGEREF _Toc70415081 \h </w:instrText>
        </w:r>
        <w:r w:rsidRPr="00DF1238">
          <w:rPr>
            <w:rFonts w:ascii="Verdana" w:eastAsia="Verdana" w:hAnsi="Verdana" w:cs="Times New Roman"/>
            <w:b/>
            <w:noProof/>
            <w:webHidden/>
            <w:color w:val="00428B"/>
            <w:sz w:val="24"/>
            <w:szCs w:val="24"/>
          </w:rPr>
        </w:r>
        <w:r w:rsidRPr="00DF1238">
          <w:rPr>
            <w:rFonts w:ascii="Verdana" w:eastAsia="Verdana" w:hAnsi="Verdana" w:cs="Times New Roman"/>
            <w:b/>
            <w:noProof/>
            <w:webHidden/>
            <w:color w:val="00428B"/>
            <w:sz w:val="24"/>
            <w:szCs w:val="24"/>
          </w:rPr>
          <w:fldChar w:fldCharType="separate"/>
        </w:r>
        <w:r w:rsidRPr="00DF1238">
          <w:rPr>
            <w:rFonts w:ascii="Verdana" w:eastAsia="Verdana" w:hAnsi="Verdana" w:cs="Times New Roman"/>
            <w:b/>
            <w:noProof/>
            <w:webHidden/>
            <w:color w:val="00428B"/>
            <w:sz w:val="24"/>
            <w:szCs w:val="24"/>
          </w:rPr>
          <w:t>3</w:t>
        </w:r>
        <w:r w:rsidRPr="00DF1238">
          <w:rPr>
            <w:rFonts w:ascii="Verdana" w:eastAsia="Verdana" w:hAnsi="Verdana" w:cs="Times New Roman"/>
            <w:b/>
            <w:noProof/>
            <w:webHidden/>
            <w:color w:val="00428B"/>
            <w:sz w:val="24"/>
            <w:szCs w:val="24"/>
          </w:rPr>
          <w:fldChar w:fldCharType="end"/>
        </w:r>
      </w:hyperlink>
    </w:p>
    <w:p w:rsidR="00DF1238" w:rsidRPr="00DF1238" w:rsidRDefault="00FB007F" w:rsidP="00DF1238">
      <w:pPr>
        <w:tabs>
          <w:tab w:val="left" w:pos="851"/>
          <w:tab w:val="right" w:leader="dot" w:pos="9639"/>
        </w:tabs>
        <w:spacing w:before="240" w:after="120" w:line="320" w:lineRule="atLeast"/>
        <w:rPr>
          <w:rFonts w:ascii="Verdana" w:eastAsia="MS Mincho" w:hAnsi="Verdana" w:cs="Times New Roman"/>
          <w:noProof/>
          <w:lang w:eastAsia="en-AU"/>
        </w:rPr>
      </w:pPr>
      <w:hyperlink w:anchor="_Toc70415082" w:history="1">
        <w:r w:rsidR="00DF1238" w:rsidRPr="00DF1238">
          <w:rPr>
            <w:rFonts w:ascii="Verdana" w:eastAsia="Verdana" w:hAnsi="Verdana" w:cs="Times New Roman"/>
            <w:b/>
            <w:noProof/>
            <w:color w:val="00428B"/>
            <w:sz w:val="24"/>
            <w:szCs w:val="24"/>
            <w:u w:val="single"/>
          </w:rPr>
          <w:t>Purpose</w:t>
        </w:r>
        <w:r w:rsidR="00DF1238" w:rsidRPr="00DF1238">
          <w:rPr>
            <w:rFonts w:ascii="Verdana" w:eastAsia="Verdana" w:hAnsi="Verdana" w:cs="Times New Roman"/>
            <w:b/>
            <w:noProof/>
            <w:webHidden/>
            <w:color w:val="00428B"/>
            <w:sz w:val="24"/>
            <w:szCs w:val="24"/>
          </w:rPr>
          <w:tab/>
        </w:r>
        <w:r w:rsidR="00DF1238" w:rsidRPr="00DF1238">
          <w:rPr>
            <w:rFonts w:ascii="Verdana" w:eastAsia="Verdana" w:hAnsi="Verdana" w:cs="Times New Roman"/>
            <w:b/>
            <w:noProof/>
            <w:webHidden/>
            <w:color w:val="00428B"/>
            <w:sz w:val="24"/>
            <w:szCs w:val="24"/>
          </w:rPr>
          <w:fldChar w:fldCharType="begin"/>
        </w:r>
        <w:r w:rsidR="00DF1238" w:rsidRPr="00DF1238">
          <w:rPr>
            <w:rFonts w:ascii="Verdana" w:eastAsia="Verdana" w:hAnsi="Verdana" w:cs="Times New Roman"/>
            <w:b/>
            <w:noProof/>
            <w:webHidden/>
            <w:color w:val="00428B"/>
            <w:sz w:val="24"/>
            <w:szCs w:val="24"/>
          </w:rPr>
          <w:instrText xml:space="preserve"> PAGEREF _Toc70415082 \h </w:instrText>
        </w:r>
        <w:r w:rsidR="00DF1238" w:rsidRPr="00DF1238">
          <w:rPr>
            <w:rFonts w:ascii="Verdana" w:eastAsia="Verdana" w:hAnsi="Verdana" w:cs="Times New Roman"/>
            <w:b/>
            <w:noProof/>
            <w:webHidden/>
            <w:color w:val="00428B"/>
            <w:sz w:val="24"/>
            <w:szCs w:val="24"/>
          </w:rPr>
        </w:r>
        <w:r w:rsidR="00DF1238" w:rsidRPr="00DF1238">
          <w:rPr>
            <w:rFonts w:ascii="Verdana" w:eastAsia="Verdana" w:hAnsi="Verdana" w:cs="Times New Roman"/>
            <w:b/>
            <w:noProof/>
            <w:webHidden/>
            <w:color w:val="00428B"/>
            <w:sz w:val="24"/>
            <w:szCs w:val="24"/>
          </w:rPr>
          <w:fldChar w:fldCharType="separate"/>
        </w:r>
        <w:r w:rsidR="00DF1238" w:rsidRPr="00DF1238">
          <w:rPr>
            <w:rFonts w:ascii="Verdana" w:eastAsia="Verdana" w:hAnsi="Verdana" w:cs="Times New Roman"/>
            <w:b/>
            <w:noProof/>
            <w:webHidden/>
            <w:color w:val="00428B"/>
            <w:sz w:val="24"/>
            <w:szCs w:val="24"/>
          </w:rPr>
          <w:t>3</w:t>
        </w:r>
        <w:r w:rsidR="00DF1238" w:rsidRPr="00DF1238">
          <w:rPr>
            <w:rFonts w:ascii="Verdana" w:eastAsia="Verdana" w:hAnsi="Verdana" w:cs="Times New Roman"/>
            <w:b/>
            <w:noProof/>
            <w:webHidden/>
            <w:color w:val="00428B"/>
            <w:sz w:val="24"/>
            <w:szCs w:val="24"/>
          </w:rPr>
          <w:fldChar w:fldCharType="end"/>
        </w:r>
      </w:hyperlink>
    </w:p>
    <w:p w:rsidR="00DF1238" w:rsidRPr="00DF1238" w:rsidRDefault="00FB007F" w:rsidP="00DF1238">
      <w:pPr>
        <w:tabs>
          <w:tab w:val="left" w:pos="851"/>
          <w:tab w:val="right" w:leader="dot" w:pos="9639"/>
        </w:tabs>
        <w:spacing w:before="240" w:after="120" w:line="320" w:lineRule="atLeast"/>
        <w:rPr>
          <w:rFonts w:ascii="Verdana" w:eastAsia="MS Mincho" w:hAnsi="Verdana" w:cs="Times New Roman"/>
          <w:noProof/>
          <w:lang w:eastAsia="en-AU"/>
        </w:rPr>
      </w:pPr>
      <w:hyperlink w:anchor="_Toc70415083" w:history="1">
        <w:r w:rsidR="00DF1238" w:rsidRPr="00DF1238">
          <w:rPr>
            <w:rFonts w:ascii="Verdana" w:eastAsia="Verdana" w:hAnsi="Verdana" w:cs="Times New Roman"/>
            <w:b/>
            <w:noProof/>
            <w:color w:val="00428B"/>
            <w:sz w:val="24"/>
            <w:szCs w:val="24"/>
            <w:u w:val="single"/>
          </w:rPr>
          <w:t>The Healthy Waterways Strategy</w:t>
        </w:r>
        <w:r w:rsidR="00DF1238" w:rsidRPr="00DF1238">
          <w:rPr>
            <w:rFonts w:ascii="Verdana" w:eastAsia="Verdana" w:hAnsi="Verdana" w:cs="Times New Roman"/>
            <w:b/>
            <w:noProof/>
            <w:webHidden/>
            <w:color w:val="00428B"/>
            <w:sz w:val="24"/>
            <w:szCs w:val="24"/>
          </w:rPr>
          <w:tab/>
        </w:r>
        <w:r w:rsidR="00DF1238" w:rsidRPr="00DF1238">
          <w:rPr>
            <w:rFonts w:ascii="Verdana" w:eastAsia="Verdana" w:hAnsi="Verdana" w:cs="Times New Roman"/>
            <w:b/>
            <w:noProof/>
            <w:webHidden/>
            <w:color w:val="00428B"/>
            <w:sz w:val="24"/>
            <w:szCs w:val="24"/>
          </w:rPr>
          <w:fldChar w:fldCharType="begin"/>
        </w:r>
        <w:r w:rsidR="00DF1238" w:rsidRPr="00DF1238">
          <w:rPr>
            <w:rFonts w:ascii="Verdana" w:eastAsia="Verdana" w:hAnsi="Verdana" w:cs="Times New Roman"/>
            <w:b/>
            <w:noProof/>
            <w:webHidden/>
            <w:color w:val="00428B"/>
            <w:sz w:val="24"/>
            <w:szCs w:val="24"/>
          </w:rPr>
          <w:instrText xml:space="preserve"> PAGEREF _Toc70415083 \h </w:instrText>
        </w:r>
        <w:r w:rsidR="00DF1238" w:rsidRPr="00DF1238">
          <w:rPr>
            <w:rFonts w:ascii="Verdana" w:eastAsia="Verdana" w:hAnsi="Verdana" w:cs="Times New Roman"/>
            <w:b/>
            <w:noProof/>
            <w:webHidden/>
            <w:color w:val="00428B"/>
            <w:sz w:val="24"/>
            <w:szCs w:val="24"/>
          </w:rPr>
        </w:r>
        <w:r w:rsidR="00DF1238" w:rsidRPr="00DF1238">
          <w:rPr>
            <w:rFonts w:ascii="Verdana" w:eastAsia="Verdana" w:hAnsi="Verdana" w:cs="Times New Roman"/>
            <w:b/>
            <w:noProof/>
            <w:webHidden/>
            <w:color w:val="00428B"/>
            <w:sz w:val="24"/>
            <w:szCs w:val="24"/>
          </w:rPr>
          <w:fldChar w:fldCharType="separate"/>
        </w:r>
        <w:r w:rsidR="00DF1238" w:rsidRPr="00DF1238">
          <w:rPr>
            <w:rFonts w:ascii="Verdana" w:eastAsia="Verdana" w:hAnsi="Verdana" w:cs="Times New Roman"/>
            <w:b/>
            <w:noProof/>
            <w:webHidden/>
            <w:color w:val="00428B"/>
            <w:sz w:val="24"/>
            <w:szCs w:val="24"/>
          </w:rPr>
          <w:t>4</w:t>
        </w:r>
        <w:r w:rsidR="00DF1238" w:rsidRPr="00DF1238">
          <w:rPr>
            <w:rFonts w:ascii="Verdana" w:eastAsia="Verdana" w:hAnsi="Verdana" w:cs="Times New Roman"/>
            <w:b/>
            <w:noProof/>
            <w:webHidden/>
            <w:color w:val="00428B"/>
            <w:sz w:val="24"/>
            <w:szCs w:val="24"/>
          </w:rPr>
          <w:fldChar w:fldCharType="end"/>
        </w:r>
      </w:hyperlink>
    </w:p>
    <w:p w:rsidR="00DF1238" w:rsidRPr="00DF1238" w:rsidRDefault="00FB007F" w:rsidP="00DF1238">
      <w:pPr>
        <w:tabs>
          <w:tab w:val="left" w:pos="851"/>
          <w:tab w:val="right" w:leader="dot" w:pos="9639"/>
        </w:tabs>
        <w:spacing w:before="240" w:after="120" w:line="320" w:lineRule="atLeast"/>
        <w:rPr>
          <w:rFonts w:ascii="Verdana" w:eastAsia="MS Mincho" w:hAnsi="Verdana" w:cs="Times New Roman"/>
          <w:noProof/>
          <w:lang w:eastAsia="en-AU"/>
        </w:rPr>
      </w:pPr>
      <w:hyperlink w:anchor="_Toc70415084" w:history="1">
        <w:r w:rsidR="00DF1238" w:rsidRPr="00DF1238">
          <w:rPr>
            <w:rFonts w:ascii="Verdana" w:eastAsia="Verdana" w:hAnsi="Verdana" w:cs="Times New Roman"/>
            <w:b/>
            <w:noProof/>
            <w:color w:val="00428B"/>
            <w:sz w:val="24"/>
            <w:szCs w:val="24"/>
            <w:u w:val="single"/>
          </w:rPr>
          <w:t>EPA Urban stormwater management guidance</w:t>
        </w:r>
        <w:r w:rsidR="00DF1238" w:rsidRPr="00DF1238">
          <w:rPr>
            <w:rFonts w:ascii="Verdana" w:eastAsia="Verdana" w:hAnsi="Verdana" w:cs="Times New Roman"/>
            <w:b/>
            <w:noProof/>
            <w:webHidden/>
            <w:color w:val="00428B"/>
            <w:sz w:val="24"/>
            <w:szCs w:val="24"/>
          </w:rPr>
          <w:tab/>
        </w:r>
        <w:r w:rsidR="00DF1238" w:rsidRPr="00DF1238">
          <w:rPr>
            <w:rFonts w:ascii="Verdana" w:eastAsia="Verdana" w:hAnsi="Verdana" w:cs="Times New Roman"/>
            <w:b/>
            <w:noProof/>
            <w:webHidden/>
            <w:color w:val="00428B"/>
            <w:sz w:val="24"/>
            <w:szCs w:val="24"/>
          </w:rPr>
          <w:fldChar w:fldCharType="begin"/>
        </w:r>
        <w:r w:rsidR="00DF1238" w:rsidRPr="00DF1238">
          <w:rPr>
            <w:rFonts w:ascii="Verdana" w:eastAsia="Verdana" w:hAnsi="Verdana" w:cs="Times New Roman"/>
            <w:b/>
            <w:noProof/>
            <w:webHidden/>
            <w:color w:val="00428B"/>
            <w:sz w:val="24"/>
            <w:szCs w:val="24"/>
          </w:rPr>
          <w:instrText xml:space="preserve"> PAGEREF _Toc70415084 \h </w:instrText>
        </w:r>
        <w:r w:rsidR="00DF1238" w:rsidRPr="00DF1238">
          <w:rPr>
            <w:rFonts w:ascii="Verdana" w:eastAsia="Verdana" w:hAnsi="Verdana" w:cs="Times New Roman"/>
            <w:b/>
            <w:noProof/>
            <w:webHidden/>
            <w:color w:val="00428B"/>
            <w:sz w:val="24"/>
            <w:szCs w:val="24"/>
          </w:rPr>
        </w:r>
        <w:r w:rsidR="00DF1238" w:rsidRPr="00DF1238">
          <w:rPr>
            <w:rFonts w:ascii="Verdana" w:eastAsia="Verdana" w:hAnsi="Verdana" w:cs="Times New Roman"/>
            <w:b/>
            <w:noProof/>
            <w:webHidden/>
            <w:color w:val="00428B"/>
            <w:sz w:val="24"/>
            <w:szCs w:val="24"/>
          </w:rPr>
          <w:fldChar w:fldCharType="separate"/>
        </w:r>
        <w:r w:rsidR="00DF1238" w:rsidRPr="00DF1238">
          <w:rPr>
            <w:rFonts w:ascii="Verdana" w:eastAsia="Verdana" w:hAnsi="Verdana" w:cs="Times New Roman"/>
            <w:b/>
            <w:noProof/>
            <w:webHidden/>
            <w:color w:val="00428B"/>
            <w:sz w:val="24"/>
            <w:szCs w:val="24"/>
          </w:rPr>
          <w:t>4</w:t>
        </w:r>
        <w:r w:rsidR="00DF1238" w:rsidRPr="00DF1238">
          <w:rPr>
            <w:rFonts w:ascii="Verdana" w:eastAsia="Verdana" w:hAnsi="Verdana" w:cs="Times New Roman"/>
            <w:b/>
            <w:noProof/>
            <w:webHidden/>
            <w:color w:val="00428B"/>
            <w:sz w:val="24"/>
            <w:szCs w:val="24"/>
          </w:rPr>
          <w:fldChar w:fldCharType="end"/>
        </w:r>
      </w:hyperlink>
    </w:p>
    <w:p w:rsidR="00DF1238" w:rsidRPr="00DF1238" w:rsidRDefault="00FB007F" w:rsidP="00DF1238">
      <w:pPr>
        <w:tabs>
          <w:tab w:val="left" w:pos="851"/>
          <w:tab w:val="right" w:leader="dot" w:pos="9639"/>
        </w:tabs>
        <w:spacing w:before="240" w:after="120" w:line="320" w:lineRule="atLeast"/>
        <w:rPr>
          <w:rFonts w:ascii="Verdana" w:eastAsia="MS Mincho" w:hAnsi="Verdana" w:cs="Times New Roman"/>
          <w:noProof/>
          <w:lang w:eastAsia="en-AU"/>
        </w:rPr>
      </w:pPr>
      <w:hyperlink w:anchor="_Toc70415085" w:history="1">
        <w:r w:rsidR="00DF1238" w:rsidRPr="00DF1238">
          <w:rPr>
            <w:rFonts w:ascii="Verdana" w:eastAsia="Verdana" w:hAnsi="Verdana" w:cs="Times New Roman"/>
            <w:b/>
            <w:noProof/>
            <w:color w:val="00428B"/>
            <w:sz w:val="24"/>
            <w:szCs w:val="24"/>
            <w:u w:val="single"/>
          </w:rPr>
          <w:t>Healthy Waterways Strategy targets</w:t>
        </w:r>
        <w:r w:rsidR="00DF1238" w:rsidRPr="00DF1238">
          <w:rPr>
            <w:rFonts w:ascii="Verdana" w:eastAsia="Verdana" w:hAnsi="Verdana" w:cs="Times New Roman"/>
            <w:b/>
            <w:noProof/>
            <w:webHidden/>
            <w:color w:val="00428B"/>
            <w:sz w:val="24"/>
            <w:szCs w:val="24"/>
          </w:rPr>
          <w:tab/>
        </w:r>
        <w:r w:rsidR="00DF1238" w:rsidRPr="00DF1238">
          <w:rPr>
            <w:rFonts w:ascii="Verdana" w:eastAsia="Verdana" w:hAnsi="Verdana" w:cs="Times New Roman"/>
            <w:b/>
            <w:noProof/>
            <w:webHidden/>
            <w:color w:val="00428B"/>
            <w:sz w:val="24"/>
            <w:szCs w:val="24"/>
          </w:rPr>
          <w:fldChar w:fldCharType="begin"/>
        </w:r>
        <w:r w:rsidR="00DF1238" w:rsidRPr="00DF1238">
          <w:rPr>
            <w:rFonts w:ascii="Verdana" w:eastAsia="Verdana" w:hAnsi="Verdana" w:cs="Times New Roman"/>
            <w:b/>
            <w:noProof/>
            <w:webHidden/>
            <w:color w:val="00428B"/>
            <w:sz w:val="24"/>
            <w:szCs w:val="24"/>
          </w:rPr>
          <w:instrText xml:space="preserve"> PAGEREF _Toc70415085 \h </w:instrText>
        </w:r>
        <w:r w:rsidR="00DF1238" w:rsidRPr="00DF1238">
          <w:rPr>
            <w:rFonts w:ascii="Verdana" w:eastAsia="Verdana" w:hAnsi="Verdana" w:cs="Times New Roman"/>
            <w:b/>
            <w:noProof/>
            <w:webHidden/>
            <w:color w:val="00428B"/>
            <w:sz w:val="24"/>
            <w:szCs w:val="24"/>
          </w:rPr>
        </w:r>
        <w:r w:rsidR="00DF1238" w:rsidRPr="00DF1238">
          <w:rPr>
            <w:rFonts w:ascii="Verdana" w:eastAsia="Verdana" w:hAnsi="Verdana" w:cs="Times New Roman"/>
            <w:b/>
            <w:noProof/>
            <w:webHidden/>
            <w:color w:val="00428B"/>
            <w:sz w:val="24"/>
            <w:szCs w:val="24"/>
          </w:rPr>
          <w:fldChar w:fldCharType="separate"/>
        </w:r>
        <w:r w:rsidR="00DF1238" w:rsidRPr="00DF1238">
          <w:rPr>
            <w:rFonts w:ascii="Verdana" w:eastAsia="Verdana" w:hAnsi="Verdana" w:cs="Times New Roman"/>
            <w:b/>
            <w:noProof/>
            <w:webHidden/>
            <w:color w:val="00428B"/>
            <w:sz w:val="24"/>
            <w:szCs w:val="24"/>
          </w:rPr>
          <w:t>4</w:t>
        </w:r>
        <w:r w:rsidR="00DF1238" w:rsidRPr="00DF1238">
          <w:rPr>
            <w:rFonts w:ascii="Verdana" w:eastAsia="Verdana" w:hAnsi="Verdana" w:cs="Times New Roman"/>
            <w:b/>
            <w:noProof/>
            <w:webHidden/>
            <w:color w:val="00428B"/>
            <w:sz w:val="24"/>
            <w:szCs w:val="24"/>
          </w:rPr>
          <w:fldChar w:fldCharType="end"/>
        </w:r>
      </w:hyperlink>
    </w:p>
    <w:p w:rsidR="00DF1238" w:rsidRPr="00DF1238" w:rsidRDefault="00FB007F" w:rsidP="00DF1238">
      <w:pPr>
        <w:tabs>
          <w:tab w:val="right" w:leader="dot" w:pos="9639"/>
        </w:tabs>
        <w:spacing w:before="120" w:after="120" w:line="320" w:lineRule="atLeast"/>
        <w:rPr>
          <w:rFonts w:ascii="Verdana" w:eastAsia="MS Mincho" w:hAnsi="Verdana" w:cs="Times New Roman"/>
          <w:noProof/>
          <w:lang w:eastAsia="en-AU"/>
        </w:rPr>
      </w:pPr>
      <w:hyperlink w:anchor="_Toc70415086" w:history="1">
        <w:r w:rsidR="00DF1238" w:rsidRPr="00DF1238">
          <w:rPr>
            <w:rFonts w:ascii="Verdana" w:eastAsia="Verdana" w:hAnsi="Verdana" w:cs="Times New Roman"/>
            <w:noProof/>
            <w:color w:val="00428B"/>
            <w:sz w:val="24"/>
            <w:szCs w:val="24"/>
            <w:u w:val="single"/>
            <w:lang w:val="en-US" w:eastAsia="fr-CA"/>
          </w:rPr>
          <w:t>How were the targets derived?</w:t>
        </w:r>
        <w:r w:rsidR="00DF1238" w:rsidRPr="00DF1238">
          <w:rPr>
            <w:rFonts w:ascii="Verdana" w:eastAsia="Verdana" w:hAnsi="Verdana" w:cs="Times New Roman"/>
            <w:noProof/>
            <w:webHidden/>
            <w:color w:val="231F20"/>
            <w:sz w:val="24"/>
            <w:szCs w:val="24"/>
            <w:lang w:eastAsia="fr-CA"/>
          </w:rPr>
          <w:tab/>
        </w:r>
        <w:r w:rsidR="00DF1238" w:rsidRPr="00DF1238">
          <w:rPr>
            <w:rFonts w:ascii="Verdana" w:eastAsia="Verdana" w:hAnsi="Verdana" w:cs="Times New Roman"/>
            <w:noProof/>
            <w:webHidden/>
            <w:color w:val="231F20"/>
            <w:sz w:val="24"/>
            <w:szCs w:val="24"/>
            <w:lang w:eastAsia="fr-CA"/>
          </w:rPr>
          <w:fldChar w:fldCharType="begin"/>
        </w:r>
        <w:r w:rsidR="00DF1238" w:rsidRPr="00DF1238">
          <w:rPr>
            <w:rFonts w:ascii="Verdana" w:eastAsia="Verdana" w:hAnsi="Verdana" w:cs="Times New Roman"/>
            <w:noProof/>
            <w:webHidden/>
            <w:color w:val="231F20"/>
            <w:sz w:val="24"/>
            <w:szCs w:val="24"/>
            <w:lang w:eastAsia="fr-CA"/>
          </w:rPr>
          <w:instrText xml:space="preserve"> PAGEREF _Toc70415086 \h </w:instrText>
        </w:r>
        <w:r w:rsidR="00DF1238" w:rsidRPr="00DF1238">
          <w:rPr>
            <w:rFonts w:ascii="Verdana" w:eastAsia="Verdana" w:hAnsi="Verdana" w:cs="Times New Roman"/>
            <w:noProof/>
            <w:webHidden/>
            <w:color w:val="231F20"/>
            <w:sz w:val="24"/>
            <w:szCs w:val="24"/>
            <w:lang w:eastAsia="fr-CA"/>
          </w:rPr>
        </w:r>
        <w:r w:rsidR="00DF1238" w:rsidRPr="00DF1238">
          <w:rPr>
            <w:rFonts w:ascii="Verdana" w:eastAsia="Verdana" w:hAnsi="Verdana" w:cs="Times New Roman"/>
            <w:noProof/>
            <w:webHidden/>
            <w:color w:val="231F20"/>
            <w:sz w:val="24"/>
            <w:szCs w:val="24"/>
            <w:lang w:eastAsia="fr-CA"/>
          </w:rPr>
          <w:fldChar w:fldCharType="separate"/>
        </w:r>
        <w:r w:rsidR="00DF1238" w:rsidRPr="00DF1238">
          <w:rPr>
            <w:rFonts w:ascii="Verdana" w:eastAsia="Verdana" w:hAnsi="Verdana" w:cs="Times New Roman"/>
            <w:noProof/>
            <w:webHidden/>
            <w:color w:val="231F20"/>
            <w:sz w:val="24"/>
            <w:szCs w:val="24"/>
            <w:lang w:eastAsia="fr-CA"/>
          </w:rPr>
          <w:t>4</w:t>
        </w:r>
        <w:r w:rsidR="00DF1238" w:rsidRPr="00DF1238">
          <w:rPr>
            <w:rFonts w:ascii="Verdana" w:eastAsia="Verdana" w:hAnsi="Verdana" w:cs="Times New Roman"/>
            <w:noProof/>
            <w:webHidden/>
            <w:color w:val="231F20"/>
            <w:sz w:val="24"/>
            <w:szCs w:val="24"/>
            <w:lang w:eastAsia="fr-CA"/>
          </w:rPr>
          <w:fldChar w:fldCharType="end"/>
        </w:r>
      </w:hyperlink>
    </w:p>
    <w:p w:rsidR="00DF1238" w:rsidRPr="00DF1238" w:rsidRDefault="00FB007F" w:rsidP="00DF1238">
      <w:pPr>
        <w:tabs>
          <w:tab w:val="left" w:pos="851"/>
          <w:tab w:val="right" w:leader="dot" w:pos="9639"/>
        </w:tabs>
        <w:spacing w:before="240" w:after="120" w:line="320" w:lineRule="atLeast"/>
        <w:rPr>
          <w:rFonts w:ascii="Verdana" w:eastAsia="MS Mincho" w:hAnsi="Verdana" w:cs="Times New Roman"/>
          <w:noProof/>
          <w:lang w:eastAsia="en-AU"/>
        </w:rPr>
      </w:pPr>
      <w:hyperlink w:anchor="_Toc70415087" w:history="1">
        <w:r w:rsidR="00DF1238" w:rsidRPr="00DF1238">
          <w:rPr>
            <w:rFonts w:ascii="Verdana" w:eastAsia="Verdana" w:hAnsi="Verdana" w:cs="Times New Roman"/>
            <w:b/>
            <w:noProof/>
            <w:color w:val="00428B"/>
            <w:sz w:val="24"/>
            <w:szCs w:val="24"/>
            <w:u w:val="single"/>
          </w:rPr>
          <w:t>Estimating stormwater targets</w:t>
        </w:r>
        <w:r w:rsidR="00DF1238" w:rsidRPr="00DF1238">
          <w:rPr>
            <w:rFonts w:ascii="Verdana" w:eastAsia="Verdana" w:hAnsi="Verdana" w:cs="Times New Roman"/>
            <w:b/>
            <w:noProof/>
            <w:webHidden/>
            <w:color w:val="00428B"/>
            <w:sz w:val="24"/>
            <w:szCs w:val="24"/>
          </w:rPr>
          <w:tab/>
        </w:r>
        <w:r w:rsidR="00DF1238" w:rsidRPr="00DF1238">
          <w:rPr>
            <w:rFonts w:ascii="Verdana" w:eastAsia="Verdana" w:hAnsi="Verdana" w:cs="Times New Roman"/>
            <w:b/>
            <w:noProof/>
            <w:webHidden/>
            <w:color w:val="00428B"/>
            <w:sz w:val="24"/>
            <w:szCs w:val="24"/>
          </w:rPr>
          <w:fldChar w:fldCharType="begin"/>
        </w:r>
        <w:r w:rsidR="00DF1238" w:rsidRPr="00DF1238">
          <w:rPr>
            <w:rFonts w:ascii="Verdana" w:eastAsia="Verdana" w:hAnsi="Verdana" w:cs="Times New Roman"/>
            <w:b/>
            <w:noProof/>
            <w:webHidden/>
            <w:color w:val="00428B"/>
            <w:sz w:val="24"/>
            <w:szCs w:val="24"/>
          </w:rPr>
          <w:instrText xml:space="preserve"> PAGEREF _Toc70415087 \h </w:instrText>
        </w:r>
        <w:r w:rsidR="00DF1238" w:rsidRPr="00DF1238">
          <w:rPr>
            <w:rFonts w:ascii="Verdana" w:eastAsia="Verdana" w:hAnsi="Verdana" w:cs="Times New Roman"/>
            <w:b/>
            <w:noProof/>
            <w:webHidden/>
            <w:color w:val="00428B"/>
            <w:sz w:val="24"/>
            <w:szCs w:val="24"/>
          </w:rPr>
        </w:r>
        <w:r w:rsidR="00DF1238" w:rsidRPr="00DF1238">
          <w:rPr>
            <w:rFonts w:ascii="Verdana" w:eastAsia="Verdana" w:hAnsi="Verdana" w:cs="Times New Roman"/>
            <w:b/>
            <w:noProof/>
            <w:webHidden/>
            <w:color w:val="00428B"/>
            <w:sz w:val="24"/>
            <w:szCs w:val="24"/>
          </w:rPr>
          <w:fldChar w:fldCharType="separate"/>
        </w:r>
        <w:r w:rsidR="00DF1238" w:rsidRPr="00DF1238">
          <w:rPr>
            <w:rFonts w:ascii="Verdana" w:eastAsia="Verdana" w:hAnsi="Verdana" w:cs="Times New Roman"/>
            <w:b/>
            <w:noProof/>
            <w:webHidden/>
            <w:color w:val="00428B"/>
            <w:sz w:val="24"/>
            <w:szCs w:val="24"/>
          </w:rPr>
          <w:t>7</w:t>
        </w:r>
        <w:r w:rsidR="00DF1238" w:rsidRPr="00DF1238">
          <w:rPr>
            <w:rFonts w:ascii="Verdana" w:eastAsia="Verdana" w:hAnsi="Verdana" w:cs="Times New Roman"/>
            <w:b/>
            <w:noProof/>
            <w:webHidden/>
            <w:color w:val="00428B"/>
            <w:sz w:val="24"/>
            <w:szCs w:val="24"/>
          </w:rPr>
          <w:fldChar w:fldCharType="end"/>
        </w:r>
      </w:hyperlink>
    </w:p>
    <w:p w:rsidR="00DF1238" w:rsidRPr="00DF1238" w:rsidRDefault="00FB007F" w:rsidP="00DF1238">
      <w:pPr>
        <w:tabs>
          <w:tab w:val="left" w:pos="851"/>
          <w:tab w:val="right" w:leader="dot" w:pos="9639"/>
        </w:tabs>
        <w:spacing w:before="240" w:after="120" w:line="320" w:lineRule="atLeast"/>
        <w:rPr>
          <w:rFonts w:ascii="Verdana" w:eastAsia="MS Mincho" w:hAnsi="Verdana" w:cs="Times New Roman"/>
          <w:noProof/>
          <w:lang w:eastAsia="en-AU"/>
        </w:rPr>
      </w:pPr>
      <w:hyperlink w:anchor="_Toc70415088" w:history="1">
        <w:r w:rsidR="00DF1238" w:rsidRPr="00DF1238">
          <w:rPr>
            <w:rFonts w:ascii="Verdana" w:eastAsia="Verdana" w:hAnsi="Verdana" w:cs="Times New Roman"/>
            <w:b/>
            <w:noProof/>
            <w:color w:val="00428B"/>
            <w:sz w:val="24"/>
            <w:szCs w:val="24"/>
            <w:u w:val="single"/>
            <w:lang w:val="en-US"/>
          </w:rPr>
          <w:t>Achieving the target on the ground</w:t>
        </w:r>
        <w:r w:rsidR="00DF1238" w:rsidRPr="00DF1238">
          <w:rPr>
            <w:rFonts w:ascii="Verdana" w:eastAsia="Verdana" w:hAnsi="Verdana" w:cs="Times New Roman"/>
            <w:b/>
            <w:noProof/>
            <w:webHidden/>
            <w:color w:val="00428B"/>
            <w:sz w:val="24"/>
            <w:szCs w:val="24"/>
          </w:rPr>
          <w:tab/>
        </w:r>
        <w:r w:rsidR="00DF1238" w:rsidRPr="00DF1238">
          <w:rPr>
            <w:rFonts w:ascii="Verdana" w:eastAsia="Verdana" w:hAnsi="Verdana" w:cs="Times New Roman"/>
            <w:b/>
            <w:noProof/>
            <w:webHidden/>
            <w:color w:val="00428B"/>
            <w:sz w:val="24"/>
            <w:szCs w:val="24"/>
          </w:rPr>
          <w:fldChar w:fldCharType="begin"/>
        </w:r>
        <w:r w:rsidR="00DF1238" w:rsidRPr="00DF1238">
          <w:rPr>
            <w:rFonts w:ascii="Verdana" w:eastAsia="Verdana" w:hAnsi="Verdana" w:cs="Times New Roman"/>
            <w:b/>
            <w:noProof/>
            <w:webHidden/>
            <w:color w:val="00428B"/>
            <w:sz w:val="24"/>
            <w:szCs w:val="24"/>
          </w:rPr>
          <w:instrText xml:space="preserve"> PAGEREF _Toc70415088 \h </w:instrText>
        </w:r>
        <w:r w:rsidR="00DF1238" w:rsidRPr="00DF1238">
          <w:rPr>
            <w:rFonts w:ascii="Verdana" w:eastAsia="Verdana" w:hAnsi="Verdana" w:cs="Times New Roman"/>
            <w:b/>
            <w:noProof/>
            <w:webHidden/>
            <w:color w:val="00428B"/>
            <w:sz w:val="24"/>
            <w:szCs w:val="24"/>
          </w:rPr>
        </w:r>
        <w:r w:rsidR="00DF1238" w:rsidRPr="00DF1238">
          <w:rPr>
            <w:rFonts w:ascii="Verdana" w:eastAsia="Verdana" w:hAnsi="Verdana" w:cs="Times New Roman"/>
            <w:b/>
            <w:noProof/>
            <w:webHidden/>
            <w:color w:val="00428B"/>
            <w:sz w:val="24"/>
            <w:szCs w:val="24"/>
          </w:rPr>
          <w:fldChar w:fldCharType="separate"/>
        </w:r>
        <w:r w:rsidR="00DF1238" w:rsidRPr="00DF1238">
          <w:rPr>
            <w:rFonts w:ascii="Verdana" w:eastAsia="Verdana" w:hAnsi="Verdana" w:cs="Times New Roman"/>
            <w:b/>
            <w:noProof/>
            <w:webHidden/>
            <w:color w:val="00428B"/>
            <w:sz w:val="24"/>
            <w:szCs w:val="24"/>
          </w:rPr>
          <w:t>9</w:t>
        </w:r>
        <w:r w:rsidR="00DF1238" w:rsidRPr="00DF1238">
          <w:rPr>
            <w:rFonts w:ascii="Verdana" w:eastAsia="Verdana" w:hAnsi="Verdana" w:cs="Times New Roman"/>
            <w:b/>
            <w:noProof/>
            <w:webHidden/>
            <w:color w:val="00428B"/>
            <w:sz w:val="24"/>
            <w:szCs w:val="24"/>
          </w:rPr>
          <w:fldChar w:fldCharType="end"/>
        </w:r>
      </w:hyperlink>
    </w:p>
    <w:p w:rsidR="00DF1238" w:rsidRPr="00DF1238" w:rsidRDefault="00FB007F" w:rsidP="00DF1238">
      <w:pPr>
        <w:tabs>
          <w:tab w:val="right" w:leader="dot" w:pos="9639"/>
        </w:tabs>
        <w:spacing w:before="120" w:after="120" w:line="300" w:lineRule="atLeast"/>
        <w:ind w:left="425"/>
        <w:rPr>
          <w:rFonts w:ascii="Verdana" w:eastAsia="MS Mincho" w:hAnsi="Verdana" w:cs="Times New Roman"/>
          <w:noProof/>
          <w:lang w:eastAsia="en-AU"/>
        </w:rPr>
      </w:pPr>
      <w:hyperlink w:anchor="_Toc70415089" w:history="1">
        <w:r w:rsidR="00DF1238" w:rsidRPr="00DF1238">
          <w:rPr>
            <w:rFonts w:ascii="Verdana" w:eastAsia="Verdana" w:hAnsi="Verdana" w:cs="Times New Roman"/>
            <w:noProof/>
            <w:color w:val="00428B"/>
            <w:szCs w:val="18"/>
            <w:u w:val="single"/>
            <w:lang w:eastAsia="fr-CA"/>
          </w:rPr>
          <w:t>Case Study 1 – Metropolitan Melbourne (Kororoit Creek Lower Sub-catchment)</w:t>
        </w:r>
        <w:r w:rsidR="00DF1238" w:rsidRPr="00DF1238">
          <w:rPr>
            <w:rFonts w:ascii="Verdana" w:eastAsia="Verdana" w:hAnsi="Verdana" w:cs="Times New Roman"/>
            <w:noProof/>
            <w:webHidden/>
            <w:color w:val="002060"/>
            <w:szCs w:val="18"/>
            <w:lang w:eastAsia="fr-CA"/>
          </w:rPr>
          <w:tab/>
        </w:r>
        <w:r w:rsidR="00DF1238" w:rsidRPr="00DF1238">
          <w:rPr>
            <w:rFonts w:ascii="Verdana" w:eastAsia="Verdana" w:hAnsi="Verdana" w:cs="Times New Roman"/>
            <w:noProof/>
            <w:webHidden/>
            <w:color w:val="002060"/>
            <w:szCs w:val="18"/>
            <w:lang w:eastAsia="fr-CA"/>
          </w:rPr>
          <w:fldChar w:fldCharType="begin"/>
        </w:r>
        <w:r w:rsidR="00DF1238" w:rsidRPr="00DF1238">
          <w:rPr>
            <w:rFonts w:ascii="Verdana" w:eastAsia="Verdana" w:hAnsi="Verdana" w:cs="Times New Roman"/>
            <w:noProof/>
            <w:webHidden/>
            <w:color w:val="002060"/>
            <w:szCs w:val="18"/>
            <w:lang w:eastAsia="fr-CA"/>
          </w:rPr>
          <w:instrText xml:space="preserve"> PAGEREF _Toc70415089 \h </w:instrText>
        </w:r>
        <w:r w:rsidR="00DF1238" w:rsidRPr="00DF1238">
          <w:rPr>
            <w:rFonts w:ascii="Verdana" w:eastAsia="Verdana" w:hAnsi="Verdana" w:cs="Times New Roman"/>
            <w:noProof/>
            <w:webHidden/>
            <w:color w:val="002060"/>
            <w:szCs w:val="18"/>
            <w:lang w:eastAsia="fr-CA"/>
          </w:rPr>
        </w:r>
        <w:r w:rsidR="00DF1238" w:rsidRPr="00DF1238">
          <w:rPr>
            <w:rFonts w:ascii="Verdana" w:eastAsia="Verdana" w:hAnsi="Verdana" w:cs="Times New Roman"/>
            <w:noProof/>
            <w:webHidden/>
            <w:color w:val="002060"/>
            <w:szCs w:val="18"/>
            <w:lang w:eastAsia="fr-CA"/>
          </w:rPr>
          <w:fldChar w:fldCharType="separate"/>
        </w:r>
        <w:r w:rsidR="00DF1238" w:rsidRPr="00DF1238">
          <w:rPr>
            <w:rFonts w:ascii="Verdana" w:eastAsia="Verdana" w:hAnsi="Verdana" w:cs="Times New Roman"/>
            <w:noProof/>
            <w:webHidden/>
            <w:color w:val="002060"/>
            <w:szCs w:val="18"/>
            <w:lang w:eastAsia="fr-CA"/>
          </w:rPr>
          <w:t>12</w:t>
        </w:r>
        <w:r w:rsidR="00DF1238" w:rsidRPr="00DF1238">
          <w:rPr>
            <w:rFonts w:ascii="Verdana" w:eastAsia="Verdana" w:hAnsi="Verdana" w:cs="Times New Roman"/>
            <w:noProof/>
            <w:webHidden/>
            <w:color w:val="002060"/>
            <w:szCs w:val="18"/>
            <w:lang w:eastAsia="fr-CA"/>
          </w:rPr>
          <w:fldChar w:fldCharType="end"/>
        </w:r>
      </w:hyperlink>
    </w:p>
    <w:p w:rsidR="00DF1238" w:rsidRPr="00DF1238" w:rsidRDefault="00FB007F" w:rsidP="00DF1238">
      <w:pPr>
        <w:tabs>
          <w:tab w:val="left" w:pos="851"/>
          <w:tab w:val="right" w:leader="dot" w:pos="9639"/>
        </w:tabs>
        <w:spacing w:before="240" w:after="120" w:line="320" w:lineRule="atLeast"/>
        <w:rPr>
          <w:rFonts w:ascii="Verdana" w:eastAsia="MS Mincho" w:hAnsi="Verdana" w:cs="Times New Roman"/>
          <w:noProof/>
          <w:lang w:eastAsia="en-AU"/>
        </w:rPr>
      </w:pPr>
      <w:hyperlink w:anchor="_Toc70415090" w:history="1">
        <w:r w:rsidR="00DF1238" w:rsidRPr="00DF1238">
          <w:rPr>
            <w:rFonts w:ascii="Verdana" w:eastAsia="Verdana" w:hAnsi="Verdana" w:cs="Times New Roman"/>
            <w:b/>
            <w:noProof/>
            <w:color w:val="00428B"/>
            <w:sz w:val="24"/>
            <w:szCs w:val="24"/>
            <w:u w:val="single"/>
          </w:rPr>
          <w:t>Appendix A</w:t>
        </w:r>
        <w:r w:rsidR="00DF1238" w:rsidRPr="00DF1238">
          <w:rPr>
            <w:rFonts w:ascii="Verdana" w:eastAsia="Verdana" w:hAnsi="Verdana" w:cs="Times New Roman"/>
            <w:b/>
            <w:noProof/>
            <w:webHidden/>
            <w:color w:val="00428B"/>
            <w:sz w:val="24"/>
            <w:szCs w:val="24"/>
          </w:rPr>
          <w:tab/>
        </w:r>
        <w:r w:rsidR="00DF1238" w:rsidRPr="00DF1238">
          <w:rPr>
            <w:rFonts w:ascii="Verdana" w:eastAsia="Verdana" w:hAnsi="Verdana" w:cs="Times New Roman"/>
            <w:b/>
            <w:noProof/>
            <w:webHidden/>
            <w:color w:val="00428B"/>
            <w:sz w:val="24"/>
            <w:szCs w:val="24"/>
          </w:rPr>
          <w:fldChar w:fldCharType="begin"/>
        </w:r>
        <w:r w:rsidR="00DF1238" w:rsidRPr="00DF1238">
          <w:rPr>
            <w:rFonts w:ascii="Verdana" w:eastAsia="Verdana" w:hAnsi="Verdana" w:cs="Times New Roman"/>
            <w:b/>
            <w:noProof/>
            <w:webHidden/>
            <w:color w:val="00428B"/>
            <w:sz w:val="24"/>
            <w:szCs w:val="24"/>
          </w:rPr>
          <w:instrText xml:space="preserve"> PAGEREF _Toc70415090 \h </w:instrText>
        </w:r>
        <w:r w:rsidR="00DF1238" w:rsidRPr="00DF1238">
          <w:rPr>
            <w:rFonts w:ascii="Verdana" w:eastAsia="Verdana" w:hAnsi="Verdana" w:cs="Times New Roman"/>
            <w:b/>
            <w:noProof/>
            <w:webHidden/>
            <w:color w:val="00428B"/>
            <w:sz w:val="24"/>
            <w:szCs w:val="24"/>
          </w:rPr>
        </w:r>
        <w:r w:rsidR="00DF1238" w:rsidRPr="00DF1238">
          <w:rPr>
            <w:rFonts w:ascii="Verdana" w:eastAsia="Verdana" w:hAnsi="Verdana" w:cs="Times New Roman"/>
            <w:b/>
            <w:noProof/>
            <w:webHidden/>
            <w:color w:val="00428B"/>
            <w:sz w:val="24"/>
            <w:szCs w:val="24"/>
          </w:rPr>
          <w:fldChar w:fldCharType="separate"/>
        </w:r>
        <w:r w:rsidR="00DF1238" w:rsidRPr="00DF1238">
          <w:rPr>
            <w:rFonts w:ascii="Verdana" w:eastAsia="Verdana" w:hAnsi="Verdana" w:cs="Times New Roman"/>
            <w:b/>
            <w:noProof/>
            <w:webHidden/>
            <w:color w:val="00428B"/>
            <w:sz w:val="24"/>
            <w:szCs w:val="24"/>
          </w:rPr>
          <w:t>14</w:t>
        </w:r>
        <w:r w:rsidR="00DF1238" w:rsidRPr="00DF1238">
          <w:rPr>
            <w:rFonts w:ascii="Verdana" w:eastAsia="Verdana" w:hAnsi="Verdana" w:cs="Times New Roman"/>
            <w:b/>
            <w:noProof/>
            <w:webHidden/>
            <w:color w:val="00428B"/>
            <w:sz w:val="24"/>
            <w:szCs w:val="24"/>
          </w:rPr>
          <w:fldChar w:fldCharType="end"/>
        </w:r>
      </w:hyperlink>
    </w:p>
    <w:p w:rsidR="00DF1238" w:rsidRPr="00DF1238" w:rsidRDefault="00DF1238" w:rsidP="00DF1238">
      <w:pPr>
        <w:keepNext/>
        <w:keepLines/>
        <w:spacing w:before="360" w:after="120" w:line="240" w:lineRule="auto"/>
        <w:outlineLvl w:val="0"/>
        <w:rPr>
          <w:rFonts w:ascii="Verdana" w:eastAsia="MS Mincho" w:hAnsi="Verdana" w:cs="Times New Roman"/>
          <w:b/>
          <w:bCs/>
          <w:color w:val="00428B"/>
          <w:sz w:val="36"/>
          <w:szCs w:val="36"/>
          <w:lang w:eastAsia="en-AU"/>
        </w:rPr>
        <w:sectPr w:rsidR="00DF1238" w:rsidRPr="00DF1238" w:rsidSect="00E2304F">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134" w:header="567" w:footer="567" w:gutter="0"/>
          <w:cols w:space="708"/>
          <w:titlePg/>
          <w:docGrid w:linePitch="360"/>
        </w:sectPr>
      </w:pPr>
      <w:r w:rsidRPr="00DF1238">
        <w:rPr>
          <w:rFonts w:ascii="Verdana" w:eastAsia="Verdana" w:hAnsi="Verdana" w:cs="Times New Roman"/>
          <w:b/>
          <w:bCs/>
          <w:noProof/>
          <w:color w:val="2B579A"/>
          <w:sz w:val="36"/>
          <w:szCs w:val="36"/>
          <w:shd w:val="clear" w:color="auto" w:fill="E6E6E6"/>
        </w:rPr>
        <w:fldChar w:fldCharType="end"/>
      </w:r>
    </w:p>
    <w:p w:rsidR="00DF1238" w:rsidRPr="00DF1238" w:rsidRDefault="00DF1238" w:rsidP="00DF1238">
      <w:pPr>
        <w:pageBreakBefore/>
        <w:spacing w:after="360" w:line="240" w:lineRule="auto"/>
        <w:outlineLvl w:val="0"/>
        <w:rPr>
          <w:rFonts w:ascii="Verdana" w:eastAsia="Times New Roman" w:hAnsi="Verdana" w:cs="Times New Roman"/>
          <w:b/>
          <w:color w:val="00428B"/>
          <w:sz w:val="36"/>
          <w:szCs w:val="48"/>
          <w:lang w:eastAsia="en-AU"/>
        </w:rPr>
      </w:pPr>
      <w:r w:rsidRPr="00DF1238">
        <w:rPr>
          <w:rFonts w:ascii="Verdana" w:eastAsia="Times New Roman" w:hAnsi="Verdana" w:cs="Times New Roman"/>
          <w:b/>
          <w:color w:val="00428B"/>
          <w:sz w:val="36"/>
          <w:szCs w:val="48"/>
          <w:lang w:eastAsia="en-AU"/>
        </w:rPr>
        <w:lastRenderedPageBreak/>
        <w:t>Practitioners note</w:t>
      </w:r>
    </w:p>
    <w:p w:rsidR="00DF1238" w:rsidRPr="00DF1238" w:rsidRDefault="00DF1238" w:rsidP="00DF1238">
      <w:pPr>
        <w:keepNext/>
        <w:keepLines/>
        <w:spacing w:before="360" w:after="120" w:line="240" w:lineRule="auto"/>
        <w:outlineLvl w:val="0"/>
        <w:rPr>
          <w:rFonts w:ascii="Verdana" w:eastAsia="MS Mincho" w:hAnsi="Verdana" w:cs="Times New Roman"/>
          <w:b/>
          <w:bCs/>
          <w:color w:val="00428B"/>
          <w:sz w:val="24"/>
          <w:szCs w:val="36"/>
          <w:lang w:eastAsia="en-AU"/>
        </w:rPr>
      </w:pPr>
      <w:r w:rsidRPr="00DF1238">
        <w:rPr>
          <w:rFonts w:ascii="Verdana" w:eastAsia="MS Mincho" w:hAnsi="Verdana" w:cs="Times New Roman"/>
          <w:b/>
          <w:bCs/>
          <w:color w:val="00428B"/>
          <w:sz w:val="24"/>
          <w:szCs w:val="36"/>
          <w:lang w:eastAsia="en-AU"/>
        </w:rPr>
        <w:t xml:space="preserve">Purpose </w:t>
      </w:r>
    </w:p>
    <w:p w:rsidR="00DF1238" w:rsidRPr="00DF1238" w:rsidRDefault="00DF1238" w:rsidP="00DF1238">
      <w:pPr>
        <w:tabs>
          <w:tab w:val="left" w:pos="2268"/>
          <w:tab w:val="left" w:pos="4536"/>
          <w:tab w:val="left" w:pos="6804"/>
          <w:tab w:val="right" w:pos="9638"/>
        </w:tabs>
        <w:spacing w:before="120" w:after="200" w:line="320" w:lineRule="atLeast"/>
        <w:rPr>
          <w:rFonts w:ascii="Verdana" w:eastAsia="Times New Roman" w:hAnsi="Verdana" w:cs="Times New Roman"/>
          <w:color w:val="231F20"/>
          <w:sz w:val="18"/>
          <w:szCs w:val="24"/>
          <w:lang w:eastAsia="en-AU"/>
        </w:rPr>
      </w:pPr>
      <w:r w:rsidRPr="00DF1238">
        <w:rPr>
          <w:rFonts w:ascii="Verdana" w:eastAsia="Times New Roman" w:hAnsi="Verdana" w:cs="Times New Roman"/>
          <w:color w:val="231F20"/>
          <w:sz w:val="18"/>
          <w:szCs w:val="24"/>
          <w:lang w:eastAsia="en-AU"/>
        </w:rPr>
        <w:t>This practitioners note:</w:t>
      </w:r>
    </w:p>
    <w:p w:rsidR="00DF1238" w:rsidRPr="00DF1238" w:rsidRDefault="00DF1238" w:rsidP="00DF1238">
      <w:pPr>
        <w:spacing w:line="240" w:lineRule="auto"/>
        <w:ind w:left="720" w:hanging="360"/>
        <w:rPr>
          <w:rFonts w:ascii="Verdana" w:eastAsia="Times New Roman" w:hAnsi="Verdana" w:cs="Times New Roman"/>
          <w:sz w:val="18"/>
          <w:szCs w:val="24"/>
        </w:rPr>
      </w:pPr>
      <w:r w:rsidRPr="00DF1238">
        <w:rPr>
          <w:rFonts w:ascii="Verdana" w:eastAsia="Times New Roman" w:hAnsi="Verdana" w:cs="Times New Roman"/>
          <w:sz w:val="18"/>
          <w:szCs w:val="24"/>
        </w:rPr>
        <w:t xml:space="preserve">Guides water and land development industry practitioners to identify stormwater targets for their location </w:t>
      </w:r>
    </w:p>
    <w:p w:rsidR="00DF1238" w:rsidRPr="00DF1238" w:rsidRDefault="00DF1238" w:rsidP="00DF1238">
      <w:pPr>
        <w:spacing w:line="240" w:lineRule="auto"/>
        <w:ind w:left="720" w:hanging="360"/>
        <w:rPr>
          <w:rFonts w:ascii="Verdana" w:eastAsia="Times New Roman" w:hAnsi="Verdana" w:cs="Times New Roman"/>
          <w:sz w:val="18"/>
          <w:szCs w:val="24"/>
        </w:rPr>
      </w:pPr>
      <w:r w:rsidRPr="00DF1238">
        <w:rPr>
          <w:rFonts w:ascii="Verdana" w:eastAsia="Times New Roman" w:hAnsi="Verdana" w:cs="Times New Roman"/>
          <w:sz w:val="18"/>
          <w:szCs w:val="24"/>
        </w:rPr>
        <w:t xml:space="preserve">Is designed for application within Melbourne Water’s operational area but can be applied across Victoria </w:t>
      </w:r>
    </w:p>
    <w:p w:rsidR="00DF1238" w:rsidRPr="00DF1238" w:rsidRDefault="00DF1238" w:rsidP="00DF1238">
      <w:pPr>
        <w:spacing w:line="240" w:lineRule="auto"/>
        <w:ind w:left="720" w:hanging="360"/>
        <w:rPr>
          <w:rFonts w:ascii="Verdana" w:eastAsia="Times New Roman" w:hAnsi="Verdana" w:cs="Times New Roman"/>
          <w:sz w:val="18"/>
          <w:szCs w:val="24"/>
        </w:rPr>
      </w:pPr>
      <w:r w:rsidRPr="00DF1238">
        <w:rPr>
          <w:rFonts w:ascii="Verdana" w:eastAsia="Times New Roman" w:hAnsi="Verdana" w:cs="Times New Roman"/>
          <w:sz w:val="18"/>
          <w:szCs w:val="24"/>
        </w:rPr>
        <w:t xml:space="preserve">Describes the background and scientific basis for the Healthy Waterway Strategy stormwater targets </w:t>
      </w:r>
    </w:p>
    <w:p w:rsidR="00DF1238" w:rsidRPr="00DF1238" w:rsidRDefault="00DF1238" w:rsidP="00DF1238">
      <w:pPr>
        <w:spacing w:line="240" w:lineRule="auto"/>
        <w:ind w:left="720" w:hanging="360"/>
        <w:rPr>
          <w:rFonts w:ascii="Verdana" w:eastAsia="Times New Roman" w:hAnsi="Verdana" w:cs="Times New Roman"/>
          <w:sz w:val="18"/>
          <w:szCs w:val="24"/>
        </w:rPr>
      </w:pPr>
      <w:r w:rsidRPr="00DF1238">
        <w:rPr>
          <w:rFonts w:ascii="Verdana" w:eastAsia="Times New Roman" w:hAnsi="Verdana" w:cs="Times New Roman"/>
          <w:sz w:val="18"/>
          <w:szCs w:val="24"/>
        </w:rPr>
        <w:t>Explains the relationship and alignment between the Healthy Waterway Strategy targets and EPA’s Urban stormwater management guidance document.</w:t>
      </w:r>
    </w:p>
    <w:p w:rsidR="00DF1238" w:rsidRPr="00DF1238" w:rsidRDefault="00DF1238" w:rsidP="00DF1238">
      <w:pPr>
        <w:spacing w:after="0" w:line="320" w:lineRule="atLeast"/>
        <w:rPr>
          <w:rFonts w:ascii="Verdana" w:eastAsia="Times New Roman" w:hAnsi="Verdana" w:cs="Times New Roman"/>
          <w:color w:val="231F20"/>
          <w:sz w:val="18"/>
          <w:szCs w:val="24"/>
          <w:lang w:val="en-US" w:eastAsia="en-AU"/>
        </w:rPr>
      </w:pPr>
      <w:r w:rsidRPr="00DF1238">
        <w:rPr>
          <w:rFonts w:ascii="Verdana" w:eastAsia="Times New Roman" w:hAnsi="Verdana" w:cs="Times New Roman"/>
          <w:color w:val="231F20"/>
          <w:sz w:val="18"/>
          <w:szCs w:val="24"/>
          <w:lang w:val="en-US" w:eastAsia="en-AU"/>
        </w:rPr>
        <w:t xml:space="preserve">This note should be read with the </w:t>
      </w:r>
      <w:hyperlink r:id="rId13" w:history="1">
        <w:r w:rsidRPr="00DF1238">
          <w:rPr>
            <w:rFonts w:ascii="Verdana" w:eastAsia="Times New Roman" w:hAnsi="Verdana" w:cs="Times New Roman"/>
            <w:color w:val="00428B"/>
            <w:sz w:val="18"/>
            <w:szCs w:val="24"/>
            <w:u w:val="single"/>
            <w:lang w:val="en-US" w:eastAsia="en-AU"/>
          </w:rPr>
          <w:t>Healthy Waterways Strategy</w:t>
        </w:r>
      </w:hyperlink>
      <w:r w:rsidRPr="00DF1238">
        <w:rPr>
          <w:rFonts w:ascii="Verdana" w:eastAsia="Times New Roman" w:hAnsi="Verdana" w:cs="Times New Roman"/>
          <w:color w:val="231F20"/>
          <w:sz w:val="18"/>
          <w:szCs w:val="24"/>
          <w:lang w:val="en-US" w:eastAsia="en-AU"/>
        </w:rPr>
        <w:t xml:space="preserve"> co-design documents that refer to specific catchments and sub-catchments. </w:t>
      </w:r>
    </w:p>
    <w:p w:rsidR="00DF1238" w:rsidRPr="00DF1238" w:rsidRDefault="00DF1238" w:rsidP="00DF1238">
      <w:pPr>
        <w:spacing w:after="0" w:line="320" w:lineRule="atLeast"/>
        <w:rPr>
          <w:rFonts w:ascii="Verdana" w:eastAsia="Times New Roman" w:hAnsi="Verdana" w:cs="Times New Roman"/>
          <w:color w:val="231F20"/>
          <w:sz w:val="18"/>
          <w:szCs w:val="24"/>
          <w:lang w:val="en-US" w:eastAsia="en-AU"/>
        </w:rPr>
      </w:pPr>
    </w:p>
    <w:p w:rsidR="00DF1238" w:rsidRPr="00DF1238" w:rsidRDefault="00DF1238" w:rsidP="00DF1238">
      <w:pPr>
        <w:spacing w:after="240" w:line="320" w:lineRule="atLeast"/>
        <w:rPr>
          <w:rFonts w:ascii="Verdana" w:eastAsia="Times New Roman" w:hAnsi="Verdana" w:cs="Times New Roman"/>
          <w:color w:val="231F20"/>
          <w:sz w:val="18"/>
          <w:szCs w:val="24"/>
          <w:lang w:val="en-US" w:eastAsia="en-AU"/>
        </w:rPr>
      </w:pPr>
      <w:r w:rsidRPr="00DF1238">
        <w:rPr>
          <w:rFonts w:ascii="Verdana" w:eastAsia="Times New Roman" w:hAnsi="Verdana" w:cs="Times New Roman"/>
          <w:color w:val="231F20"/>
          <w:sz w:val="18"/>
          <w:szCs w:val="24"/>
          <w:lang w:val="en-US" w:eastAsia="en-AU"/>
        </w:rPr>
        <w:t>Some of the key takeaway messages from this practitioner’s note include:</w:t>
      </w:r>
    </w:p>
    <w:p w:rsidR="00DF1238" w:rsidRPr="00DF1238" w:rsidRDefault="00DF1238" w:rsidP="00DF1238">
      <w:pPr>
        <w:spacing w:line="240" w:lineRule="auto"/>
        <w:ind w:left="720" w:hanging="360"/>
        <w:rPr>
          <w:rFonts w:ascii="Verdana" w:eastAsia="Times New Roman" w:hAnsi="Verdana" w:cs="Times New Roman"/>
          <w:sz w:val="18"/>
          <w:szCs w:val="24"/>
        </w:rPr>
      </w:pPr>
      <w:r w:rsidRPr="00DF1238">
        <w:rPr>
          <w:rFonts w:ascii="Verdana" w:eastAsia="Times New Roman" w:hAnsi="Verdana" w:cs="Times New Roman"/>
          <w:sz w:val="18"/>
          <w:szCs w:val="24"/>
        </w:rPr>
        <w:t>The HWS targets have been derived from a broad based and consultative process where community has clearly articulated their desire to protect Melbourne’s waterways into the future. The targets have been derived based on scientific evidence that supports that outcome</w:t>
      </w:r>
    </w:p>
    <w:p w:rsidR="00DF1238" w:rsidRPr="00DF1238" w:rsidRDefault="00DF1238" w:rsidP="00DF1238">
      <w:pPr>
        <w:spacing w:line="240" w:lineRule="auto"/>
        <w:ind w:left="720" w:hanging="360"/>
        <w:rPr>
          <w:rFonts w:ascii="Verdana" w:eastAsia="Times New Roman" w:hAnsi="Verdana" w:cs="Times New Roman"/>
          <w:sz w:val="18"/>
          <w:szCs w:val="24"/>
        </w:rPr>
      </w:pPr>
      <w:r w:rsidRPr="00DF1238">
        <w:rPr>
          <w:rFonts w:ascii="Verdana" w:eastAsia="Times New Roman" w:hAnsi="Verdana" w:cs="Times New Roman"/>
          <w:sz w:val="18"/>
          <w:szCs w:val="24"/>
        </w:rPr>
        <w:t>The targets in this note are applicable primarily to HWS ‘priority’ sub-catchments but they are also applicable to ‘other’ urban areas across Metropolitan Melbourne and regional Victoria</w:t>
      </w:r>
    </w:p>
    <w:p w:rsidR="00DF1238" w:rsidRPr="00DF1238" w:rsidRDefault="00DF1238" w:rsidP="00DF1238">
      <w:pPr>
        <w:spacing w:line="240" w:lineRule="auto"/>
        <w:ind w:left="720" w:hanging="360"/>
        <w:rPr>
          <w:rFonts w:ascii="Verdana" w:eastAsia="Times New Roman" w:hAnsi="Verdana" w:cs="Times New Roman"/>
          <w:sz w:val="18"/>
          <w:szCs w:val="24"/>
        </w:rPr>
      </w:pPr>
      <w:r w:rsidRPr="00DF1238">
        <w:rPr>
          <w:rFonts w:ascii="Verdana" w:eastAsia="Times New Roman" w:hAnsi="Verdana" w:cs="Times New Roman"/>
          <w:sz w:val="18"/>
          <w:szCs w:val="24"/>
        </w:rPr>
        <w:t>The stormwater targets have two elements: harvesting (that includes evapotranspiration) and infiltration</w:t>
      </w:r>
    </w:p>
    <w:p w:rsidR="00DF1238" w:rsidRPr="00DF1238" w:rsidRDefault="00DF1238" w:rsidP="00DF1238">
      <w:pPr>
        <w:spacing w:line="240" w:lineRule="auto"/>
        <w:ind w:left="720" w:hanging="360"/>
        <w:rPr>
          <w:rFonts w:ascii="Verdana" w:eastAsia="Times New Roman" w:hAnsi="Verdana" w:cs="Times New Roman"/>
          <w:sz w:val="18"/>
          <w:szCs w:val="24"/>
        </w:rPr>
      </w:pPr>
      <w:r w:rsidRPr="00DF1238">
        <w:rPr>
          <w:rFonts w:ascii="Verdana" w:eastAsia="Times New Roman" w:hAnsi="Verdana" w:cs="Times New Roman"/>
          <w:sz w:val="18"/>
          <w:szCs w:val="24"/>
        </w:rPr>
        <w:t xml:space="preserve">The targets can be expressed in terms of ML / impervious Ha /yr, highlighting imperviousness as the key driver of stormwater generation and waterway degradation. Targets can also be expressed in terms of percentage of runoff from impervious surfaces </w:t>
      </w:r>
    </w:p>
    <w:p w:rsidR="00DF1238" w:rsidRPr="00DF1238" w:rsidRDefault="00DF1238" w:rsidP="00DF1238">
      <w:pPr>
        <w:spacing w:line="240" w:lineRule="auto"/>
        <w:ind w:left="720" w:hanging="360"/>
        <w:rPr>
          <w:rFonts w:ascii="Verdana" w:eastAsia="Times New Roman" w:hAnsi="Verdana" w:cs="Times New Roman"/>
          <w:sz w:val="18"/>
          <w:szCs w:val="24"/>
        </w:rPr>
      </w:pPr>
      <w:r w:rsidRPr="00DF1238">
        <w:rPr>
          <w:rFonts w:ascii="Verdana" w:eastAsia="Times New Roman" w:hAnsi="Verdana" w:cs="Times New Roman"/>
          <w:sz w:val="18"/>
          <w:szCs w:val="24"/>
        </w:rPr>
        <w:t>Achieving the stormwater targets will require contributions from stakeholders operating at a range of spatial scales</w:t>
      </w:r>
    </w:p>
    <w:p w:rsidR="00DF1238" w:rsidRPr="00DF1238" w:rsidRDefault="00DF1238" w:rsidP="00DF1238">
      <w:pPr>
        <w:spacing w:line="240" w:lineRule="auto"/>
        <w:ind w:left="720" w:hanging="360"/>
        <w:rPr>
          <w:rFonts w:ascii="Verdana" w:eastAsia="Times New Roman" w:hAnsi="Verdana" w:cs="Times New Roman"/>
          <w:sz w:val="18"/>
          <w:szCs w:val="24"/>
        </w:rPr>
      </w:pPr>
      <w:r w:rsidRPr="00DF1238">
        <w:rPr>
          <w:rFonts w:ascii="Verdana" w:eastAsia="Times New Roman" w:hAnsi="Verdana" w:cs="Times New Roman"/>
          <w:sz w:val="18"/>
          <w:szCs w:val="24"/>
        </w:rPr>
        <w:t>Stakeholders need to be open to creating, supporting and contributing to opportunities that are beyond their project boundary. For example, allotment scale developers may contribute to precinct and regional scale opportunities. Collaboration between stakeholders to achieve this is therefore critical.</w:t>
      </w:r>
    </w:p>
    <w:p w:rsidR="00DF1238" w:rsidRPr="00DF1238" w:rsidRDefault="00DF1238" w:rsidP="00DF1238">
      <w:pPr>
        <w:spacing w:after="0" w:line="320" w:lineRule="atLeast"/>
        <w:rPr>
          <w:rFonts w:ascii="Verdana" w:eastAsia="Times New Roman" w:hAnsi="Verdana" w:cs="Times New Roman"/>
          <w:color w:val="231F20"/>
          <w:sz w:val="18"/>
          <w:szCs w:val="24"/>
          <w:lang w:val="en-US" w:eastAsia="en-AU"/>
        </w:rPr>
      </w:pPr>
    </w:p>
    <w:p w:rsidR="00DF1238" w:rsidRPr="00DF1238" w:rsidRDefault="00DF1238" w:rsidP="00DF1238">
      <w:pPr>
        <w:spacing w:after="0" w:line="320" w:lineRule="atLeast"/>
        <w:rPr>
          <w:rFonts w:ascii="Verdana" w:eastAsia="Times New Roman" w:hAnsi="Verdana" w:cs="Times New Roman"/>
          <w:color w:val="231F20"/>
          <w:sz w:val="18"/>
          <w:szCs w:val="24"/>
          <w:lang w:val="en-US" w:eastAsia="en-AU"/>
        </w:rPr>
      </w:pPr>
      <w:r w:rsidRPr="00DF1238">
        <w:rPr>
          <w:rFonts w:ascii="Verdana" w:eastAsia="Times New Roman" w:hAnsi="Verdana" w:cs="Times New Roman"/>
          <w:color w:val="231F20"/>
          <w:sz w:val="18"/>
          <w:szCs w:val="24"/>
          <w:lang w:val="en-US" w:eastAsia="en-AU"/>
        </w:rPr>
        <w:br w:type="page"/>
      </w:r>
    </w:p>
    <w:p w:rsidR="00DF1238" w:rsidRPr="00DF1238" w:rsidRDefault="00DF1238" w:rsidP="00DF1238">
      <w:pPr>
        <w:keepNext/>
        <w:keepLines/>
        <w:spacing w:before="360" w:after="120" w:line="240" w:lineRule="auto"/>
        <w:outlineLvl w:val="0"/>
        <w:rPr>
          <w:rFonts w:ascii="Verdana" w:eastAsia="MS Mincho" w:hAnsi="Verdana" w:cs="Times New Roman"/>
          <w:b/>
          <w:bCs/>
          <w:color w:val="00428B"/>
          <w:sz w:val="24"/>
          <w:szCs w:val="36"/>
          <w:lang w:eastAsia="en-AU"/>
        </w:rPr>
      </w:pPr>
      <w:r w:rsidRPr="00DF1238">
        <w:rPr>
          <w:rFonts w:ascii="Verdana" w:eastAsia="MS Mincho" w:hAnsi="Verdana" w:cs="Times New Roman"/>
          <w:b/>
          <w:bCs/>
          <w:color w:val="00428B"/>
          <w:sz w:val="24"/>
          <w:szCs w:val="36"/>
          <w:lang w:eastAsia="en-AU"/>
        </w:rPr>
        <w:lastRenderedPageBreak/>
        <w:t>The Healthy Waterways Strategy</w:t>
      </w:r>
    </w:p>
    <w:p w:rsidR="00DF1238" w:rsidRPr="00DF1238" w:rsidRDefault="00DF1238" w:rsidP="00DF1238">
      <w:pPr>
        <w:numPr>
          <w:ilvl w:val="0"/>
          <w:numId w:val="1"/>
        </w:numPr>
        <w:spacing w:before="240" w:after="240" w:line="360" w:lineRule="atLeast"/>
        <w:ind w:left="0" w:firstLine="0"/>
        <w:rPr>
          <w:rFonts w:ascii="Verdana" w:eastAsia="Times New Roman" w:hAnsi="Verdana" w:cs="Times New Roman"/>
          <w:color w:val="00428B"/>
          <w:spacing w:val="1"/>
          <w:sz w:val="20"/>
          <w:szCs w:val="26"/>
        </w:rPr>
      </w:pPr>
      <w:r w:rsidRPr="00DF1238">
        <w:rPr>
          <w:rFonts w:ascii="Verdana" w:eastAsia="Times New Roman" w:hAnsi="Verdana" w:cs="Times New Roman"/>
          <w:color w:val="00428B"/>
          <w:spacing w:val="1"/>
          <w:sz w:val="20"/>
          <w:szCs w:val="26"/>
        </w:rPr>
        <w:t>The Healthy Waterways Strategy’s (HWS) vision is that “Healthy and valued waterways are integrated with the broader landscape, and enhance life and liveability”. (Healthy Waterways Strategy, 2018).</w:t>
      </w:r>
    </w:p>
    <w:p w:rsidR="00DF1238" w:rsidRPr="00DF1238" w:rsidRDefault="00DF1238" w:rsidP="00DF1238">
      <w:pPr>
        <w:spacing w:after="240" w:line="320" w:lineRule="atLeast"/>
        <w:rPr>
          <w:rFonts w:ascii="Verdana" w:eastAsia="Times New Roman" w:hAnsi="Verdana" w:cs="Times New Roman"/>
          <w:color w:val="231F20"/>
          <w:sz w:val="18"/>
          <w:szCs w:val="24"/>
          <w:lang w:val="en-US" w:eastAsia="en-AU"/>
        </w:rPr>
      </w:pPr>
      <w:r w:rsidRPr="00DF1238">
        <w:rPr>
          <w:rFonts w:ascii="Verdana" w:eastAsia="Times New Roman" w:hAnsi="Verdana" w:cs="Times New Roman"/>
          <w:color w:val="231F20"/>
          <w:sz w:val="18"/>
          <w:szCs w:val="24"/>
          <w:lang w:val="en-US" w:eastAsia="en-AU"/>
        </w:rPr>
        <w:t xml:space="preserve">The HWS recognises that increased stormwater volume and intensity of peak flows is a result of urbanisation and a key threat to waterway health. The increased stormwater flows are also combined with pollutants and sediments from surrounding catchments, ultimately conveyed to Port Phillip Bay and Westernport. </w:t>
      </w:r>
    </w:p>
    <w:p w:rsidR="00DF1238" w:rsidRPr="00DF1238" w:rsidRDefault="00DF1238" w:rsidP="00DF1238">
      <w:pPr>
        <w:spacing w:after="240" w:line="320" w:lineRule="atLeast"/>
        <w:rPr>
          <w:rFonts w:ascii="Verdana" w:eastAsia="Times New Roman" w:hAnsi="Verdana" w:cs="Times New Roman"/>
          <w:color w:val="231F20"/>
          <w:sz w:val="18"/>
          <w:szCs w:val="24"/>
          <w:lang w:val="en-US" w:eastAsia="en-AU"/>
        </w:rPr>
      </w:pPr>
      <w:r w:rsidRPr="00DF1238">
        <w:rPr>
          <w:rFonts w:ascii="Verdana" w:eastAsia="Times New Roman" w:hAnsi="Verdana" w:cs="Times New Roman"/>
          <w:color w:val="231F20"/>
          <w:sz w:val="18"/>
          <w:szCs w:val="24"/>
          <w:lang w:val="en-US" w:eastAsia="en-AU"/>
        </w:rPr>
        <w:t xml:space="preserve">Over a two-year co-design process, community </w:t>
      </w:r>
      <w:r w:rsidRPr="00DF1238">
        <w:rPr>
          <w:rFonts w:ascii="Verdana" w:eastAsia="Times New Roman" w:hAnsi="Verdana" w:cs="Times New Roman"/>
          <w:color w:val="231F20"/>
          <w:sz w:val="18"/>
          <w:szCs w:val="24"/>
          <w:lang w:eastAsia="en-AU"/>
        </w:rPr>
        <w:t xml:space="preserve">knowledge and understanding of the scale and impact of stormwater on waterway health increased. Based on this, their </w:t>
      </w:r>
      <w:r w:rsidRPr="00DF1238">
        <w:rPr>
          <w:rFonts w:ascii="Verdana" w:eastAsia="Times New Roman" w:hAnsi="Verdana" w:cs="Times New Roman"/>
          <w:color w:val="231F20"/>
          <w:sz w:val="18"/>
          <w:szCs w:val="24"/>
          <w:lang w:val="en-US" w:eastAsia="en-AU"/>
        </w:rPr>
        <w:t xml:space="preserve">strong preference was for the long term protection of Melbourne’s waterways. This co-design process and community preferences </w:t>
      </w:r>
      <w:r w:rsidRPr="00DF1238">
        <w:rPr>
          <w:rFonts w:ascii="Verdana" w:eastAsia="Times New Roman" w:hAnsi="Verdana" w:cs="Times New Roman"/>
          <w:color w:val="231F20"/>
          <w:sz w:val="18"/>
          <w:szCs w:val="24"/>
          <w:lang w:eastAsia="en-AU"/>
        </w:rPr>
        <w:t>guided the development of the targets described below.</w:t>
      </w:r>
      <w:r w:rsidRPr="00DF1238">
        <w:rPr>
          <w:rFonts w:ascii="Verdana" w:eastAsia="Times New Roman" w:hAnsi="Verdana" w:cs="Times New Roman"/>
          <w:color w:val="231F20"/>
          <w:sz w:val="18"/>
          <w:szCs w:val="24"/>
          <w:lang w:val="en-US" w:eastAsia="en-AU"/>
        </w:rPr>
        <w:t xml:space="preserve"> </w:t>
      </w:r>
      <w:r w:rsidRPr="00DF1238">
        <w:rPr>
          <w:rFonts w:ascii="Verdana" w:eastAsia="Times New Roman" w:hAnsi="Verdana" w:cs="Times New Roman"/>
          <w:color w:val="231F20"/>
          <w:sz w:val="18"/>
          <w:szCs w:val="24"/>
          <w:lang w:eastAsia="en-AU"/>
        </w:rPr>
        <w:t>While Melbourne Water manages Melbourne’s waterways, maintaining and improving waterway health is a shared responsibility across the water industry, State and Local Government, private enterprise and the community.</w:t>
      </w:r>
    </w:p>
    <w:p w:rsidR="00DF1238" w:rsidRPr="00DF1238" w:rsidRDefault="00DF1238" w:rsidP="00DF1238">
      <w:pPr>
        <w:keepNext/>
        <w:keepLines/>
        <w:spacing w:before="360" w:after="120" w:line="240" w:lineRule="auto"/>
        <w:outlineLvl w:val="0"/>
        <w:rPr>
          <w:rFonts w:ascii="Verdana" w:eastAsia="MS Mincho" w:hAnsi="Verdana" w:cs="Times New Roman"/>
          <w:b/>
          <w:bCs/>
          <w:color w:val="00428B"/>
          <w:sz w:val="24"/>
          <w:szCs w:val="36"/>
          <w:lang w:eastAsia="en-AU"/>
        </w:rPr>
      </w:pPr>
      <w:r w:rsidRPr="00DF1238">
        <w:rPr>
          <w:rFonts w:ascii="Verdana" w:eastAsia="MS Mincho" w:hAnsi="Verdana" w:cs="Times New Roman"/>
          <w:b/>
          <w:bCs/>
          <w:color w:val="00428B"/>
          <w:sz w:val="24"/>
          <w:szCs w:val="36"/>
          <w:lang w:eastAsia="en-AU"/>
        </w:rPr>
        <w:t>EPA Urban stormwater management guidance</w:t>
      </w:r>
    </w:p>
    <w:p w:rsidR="00DF1238" w:rsidRPr="00DF1238" w:rsidRDefault="00DF1238" w:rsidP="00DF1238">
      <w:pPr>
        <w:spacing w:after="0" w:line="320" w:lineRule="atLeast"/>
        <w:rPr>
          <w:rFonts w:ascii="Verdana" w:eastAsia="Times New Roman" w:hAnsi="Verdana" w:cs="Times New Roman"/>
          <w:color w:val="231F20"/>
          <w:sz w:val="18"/>
          <w:szCs w:val="24"/>
          <w:lang w:eastAsia="en-AU"/>
        </w:rPr>
      </w:pPr>
      <w:r w:rsidRPr="00DF1238">
        <w:rPr>
          <w:rFonts w:ascii="Verdana" w:eastAsia="Times New Roman" w:hAnsi="Verdana" w:cs="Times New Roman"/>
          <w:color w:val="231F20"/>
          <w:sz w:val="18"/>
          <w:szCs w:val="24"/>
          <w:lang w:eastAsia="en-AU"/>
        </w:rPr>
        <w:t xml:space="preserve">The Victorian Environment Protection Authority’s </w:t>
      </w:r>
      <w:r w:rsidRPr="00DF1238">
        <w:rPr>
          <w:rFonts w:ascii="Verdana" w:eastAsia="Times New Roman" w:hAnsi="Verdana" w:cs="Times New Roman"/>
          <w:i/>
          <w:color w:val="231F20"/>
          <w:sz w:val="18"/>
          <w:szCs w:val="24"/>
          <w:lang w:eastAsia="en-AU"/>
        </w:rPr>
        <w:t xml:space="preserve">Urban stormwater management guidance </w:t>
      </w:r>
      <w:r w:rsidRPr="00DF1238">
        <w:rPr>
          <w:rFonts w:ascii="Verdana" w:eastAsia="Times New Roman" w:hAnsi="Verdana" w:cs="Times New Roman"/>
          <w:color w:val="231F20"/>
          <w:sz w:val="18"/>
          <w:szCs w:val="24"/>
          <w:lang w:eastAsia="en-AU"/>
        </w:rPr>
        <w:t>sets out urban stormwater performance objectives for priority and other areas. These performance objectives are expressed in terms of percentage reduction in mean annual impervious runoff volume.</w:t>
      </w:r>
    </w:p>
    <w:p w:rsidR="00DF1238" w:rsidRPr="00DF1238" w:rsidRDefault="00DF1238" w:rsidP="00DF1238">
      <w:pPr>
        <w:spacing w:after="0" w:line="320" w:lineRule="atLeast"/>
        <w:rPr>
          <w:rFonts w:ascii="Verdana" w:eastAsia="Times New Roman" w:hAnsi="Verdana" w:cs="Times New Roman"/>
          <w:color w:val="231F20"/>
          <w:sz w:val="18"/>
          <w:szCs w:val="24"/>
          <w:lang w:eastAsia="en-AU"/>
        </w:rPr>
      </w:pPr>
      <w:r w:rsidRPr="00DF1238">
        <w:rPr>
          <w:rFonts w:ascii="Verdana" w:eastAsia="Times New Roman" w:hAnsi="Verdana" w:cs="Times New Roman"/>
          <w:color w:val="231F20"/>
          <w:sz w:val="18"/>
          <w:szCs w:val="24"/>
          <w:lang w:eastAsia="en-AU"/>
        </w:rPr>
        <w:t xml:space="preserve">Melbourne Water &amp; EPA have worked together to prepare this note and develop a consistent framework, whereby the targets within the HWS and the </w:t>
      </w:r>
      <w:r w:rsidRPr="00DF1238">
        <w:rPr>
          <w:rFonts w:ascii="Verdana" w:eastAsia="Times New Roman" w:hAnsi="Verdana" w:cs="Times New Roman"/>
          <w:i/>
          <w:color w:val="231F20"/>
          <w:sz w:val="18"/>
          <w:szCs w:val="24"/>
          <w:lang w:eastAsia="en-AU"/>
        </w:rPr>
        <w:t>Urban stormwater management guidance</w:t>
      </w:r>
      <w:r w:rsidRPr="00DF1238">
        <w:rPr>
          <w:rFonts w:ascii="Verdana" w:eastAsia="Times New Roman" w:hAnsi="Verdana" w:cs="Times New Roman"/>
          <w:color w:val="231F20"/>
          <w:sz w:val="18"/>
          <w:szCs w:val="24"/>
          <w:lang w:eastAsia="en-AU"/>
        </w:rPr>
        <w:t xml:space="preserve"> are aligned and reflect current scientific and industry knowledge. </w:t>
      </w:r>
    </w:p>
    <w:p w:rsidR="00DF1238" w:rsidRPr="00DF1238" w:rsidRDefault="00DF1238" w:rsidP="00DF1238">
      <w:pPr>
        <w:keepNext/>
        <w:keepLines/>
        <w:spacing w:before="360" w:after="120" w:line="240" w:lineRule="auto"/>
        <w:outlineLvl w:val="0"/>
        <w:rPr>
          <w:rFonts w:ascii="Verdana" w:eastAsia="MS Mincho" w:hAnsi="Verdana" w:cs="Times New Roman"/>
          <w:b/>
          <w:bCs/>
          <w:color w:val="00428B"/>
          <w:sz w:val="24"/>
          <w:szCs w:val="36"/>
          <w:lang w:eastAsia="en-AU"/>
        </w:rPr>
      </w:pPr>
      <w:r w:rsidRPr="00DF1238">
        <w:rPr>
          <w:rFonts w:ascii="Verdana" w:eastAsia="MS Mincho" w:hAnsi="Verdana" w:cs="Times New Roman"/>
          <w:b/>
          <w:bCs/>
          <w:color w:val="00428B"/>
          <w:sz w:val="24"/>
          <w:szCs w:val="36"/>
          <w:lang w:eastAsia="en-AU"/>
        </w:rPr>
        <w:t>Healthy Waterways Strategy targets</w:t>
      </w:r>
    </w:p>
    <w:p w:rsidR="00DF1238" w:rsidRPr="00DF1238" w:rsidRDefault="00DF1238" w:rsidP="00DF1238">
      <w:pPr>
        <w:spacing w:after="0" w:line="320" w:lineRule="atLeast"/>
        <w:rPr>
          <w:rFonts w:ascii="Verdana" w:eastAsia="Times New Roman" w:hAnsi="Verdana" w:cs="Times New Roman"/>
          <w:color w:val="231F20"/>
          <w:sz w:val="18"/>
          <w:szCs w:val="24"/>
          <w:lang w:eastAsia="en-AU"/>
        </w:rPr>
      </w:pPr>
      <w:r w:rsidRPr="00DF1238">
        <w:rPr>
          <w:rFonts w:ascii="Verdana" w:eastAsia="Times New Roman" w:hAnsi="Verdana" w:cs="Times New Roman"/>
          <w:color w:val="231F20"/>
          <w:sz w:val="18"/>
          <w:szCs w:val="24"/>
          <w:lang w:val="en-US" w:eastAsia="en-AU"/>
        </w:rPr>
        <w:t xml:space="preserve">The </w:t>
      </w:r>
      <w:r w:rsidRPr="00DF1238">
        <w:rPr>
          <w:rFonts w:ascii="Verdana" w:eastAsia="Times New Roman" w:hAnsi="Verdana" w:cs="Times New Roman"/>
          <w:color w:val="231F20"/>
          <w:sz w:val="18"/>
          <w:szCs w:val="24"/>
          <w:lang w:eastAsia="en-AU"/>
        </w:rPr>
        <w:t xml:space="preserve">HWS identifies stormwater harvesting and infiltration targets for 36 ‘Priority’ sub-catchments across Metropolitan Melbourne. Priority areas are designated areas which have high ecological values, where protection from the impacts of urbanisation is required to maintain the natural water cycle and protect the ecological health of those waterways. Failing to meet these targets is forecast to lead to significant declines in the health of most urban waterways across the region. Achieving the targets requires a </w:t>
      </w:r>
      <w:r w:rsidRPr="00DF1238">
        <w:rPr>
          <w:rFonts w:ascii="Verdana" w:eastAsia="Times New Roman" w:hAnsi="Verdana" w:cs="Times New Roman"/>
          <w:color w:val="231F20"/>
          <w:sz w:val="18"/>
          <w:szCs w:val="24"/>
          <w:lang w:val="en-US" w:eastAsia="en-AU"/>
        </w:rPr>
        <w:t xml:space="preserve">contribution from both stormwater harvesting (plus evapotranspiration) that </w:t>
      </w:r>
      <w:r w:rsidRPr="00DF1238">
        <w:rPr>
          <w:rFonts w:ascii="Verdana" w:eastAsia="Times New Roman" w:hAnsi="Verdana" w:cs="Times New Roman"/>
          <w:color w:val="231F20"/>
          <w:sz w:val="18"/>
          <w:szCs w:val="24"/>
          <w:lang w:eastAsia="en-AU"/>
        </w:rPr>
        <w:t xml:space="preserve">removes excess flows from surface water, </w:t>
      </w:r>
      <w:r w:rsidRPr="00DF1238">
        <w:rPr>
          <w:rFonts w:ascii="Verdana" w:eastAsia="Times New Roman" w:hAnsi="Verdana" w:cs="Times New Roman"/>
          <w:color w:val="231F20"/>
          <w:sz w:val="18"/>
          <w:szCs w:val="24"/>
          <w:lang w:val="en-US" w:eastAsia="en-AU"/>
        </w:rPr>
        <w:t xml:space="preserve">and infiltration that </w:t>
      </w:r>
      <w:r w:rsidRPr="00DF1238">
        <w:rPr>
          <w:rFonts w:ascii="Verdana" w:eastAsia="Times New Roman" w:hAnsi="Verdana" w:cs="Times New Roman"/>
          <w:color w:val="231F20"/>
          <w:sz w:val="18"/>
          <w:szCs w:val="24"/>
          <w:lang w:eastAsia="en-AU"/>
        </w:rPr>
        <w:t>maintains baseflows.</w:t>
      </w:r>
    </w:p>
    <w:p w:rsidR="00DF1238" w:rsidRPr="00DF1238" w:rsidRDefault="00DF1238" w:rsidP="00DF1238">
      <w:pPr>
        <w:keepNext/>
        <w:keepLines/>
        <w:spacing w:before="240" w:after="120" w:line="240" w:lineRule="auto"/>
        <w:outlineLvl w:val="1"/>
        <w:rPr>
          <w:rFonts w:ascii="Verdana" w:eastAsia="MS Gothic" w:hAnsi="Verdana" w:cs="Times New Roman"/>
          <w:b/>
          <w:bCs/>
          <w:color w:val="231F20"/>
          <w:sz w:val="20"/>
          <w:szCs w:val="28"/>
          <w:lang w:val="en-US" w:eastAsia="en-AU"/>
        </w:rPr>
      </w:pPr>
      <w:r w:rsidRPr="00DF1238">
        <w:rPr>
          <w:rFonts w:ascii="Verdana" w:eastAsia="MS Gothic" w:hAnsi="Verdana" w:cs="Times New Roman"/>
          <w:b/>
          <w:bCs/>
          <w:color w:val="231F20"/>
          <w:sz w:val="20"/>
          <w:szCs w:val="28"/>
          <w:lang w:val="en-US" w:eastAsia="en-AU"/>
        </w:rPr>
        <w:t>How were the targets derived?</w:t>
      </w:r>
    </w:p>
    <w:p w:rsidR="00DF1238" w:rsidRPr="00DF1238" w:rsidRDefault="00DF1238" w:rsidP="00DF1238">
      <w:pPr>
        <w:spacing w:after="120" w:line="320" w:lineRule="atLeast"/>
        <w:rPr>
          <w:rFonts w:ascii="Verdana" w:eastAsia="Times New Roman" w:hAnsi="Verdana" w:cs="Times New Roman"/>
          <w:color w:val="231F20"/>
          <w:sz w:val="18"/>
          <w:szCs w:val="24"/>
          <w:lang w:val="en-US" w:eastAsia="en-AU"/>
        </w:rPr>
      </w:pPr>
      <w:r w:rsidRPr="00DF1238">
        <w:rPr>
          <w:rFonts w:ascii="Verdana" w:eastAsia="Times New Roman" w:hAnsi="Verdana" w:cs="Times New Roman"/>
          <w:color w:val="231F20"/>
          <w:sz w:val="18"/>
          <w:szCs w:val="24"/>
          <w:lang w:val="en-US" w:eastAsia="en-AU"/>
        </w:rPr>
        <w:t xml:space="preserve">The volume of stormwater generated within a sub-catchment is driven by impervious area and rainfall. The area of impervious surfaces (like roofs, roads and pavements) that are directly connected to waterways via pipes and drains is how the water industry measures the impact of stormwater on waterway health. This measure is referred to as ‘Directly Connected Imperviousness’ (DCI). </w:t>
      </w:r>
    </w:p>
    <w:p w:rsidR="00DF1238" w:rsidRPr="00DF1238" w:rsidRDefault="00DF1238" w:rsidP="00DF1238">
      <w:pPr>
        <w:spacing w:after="120" w:line="320" w:lineRule="atLeast"/>
        <w:rPr>
          <w:rFonts w:ascii="Verdana" w:eastAsia="Times New Roman" w:hAnsi="Verdana" w:cs="Times New Roman"/>
          <w:color w:val="231F20"/>
          <w:sz w:val="18"/>
          <w:szCs w:val="24"/>
          <w:lang w:val="en-US" w:eastAsia="en-AU"/>
        </w:rPr>
      </w:pPr>
      <w:r w:rsidRPr="00DF1238">
        <w:rPr>
          <w:rFonts w:ascii="Verdana" w:eastAsia="Times New Roman" w:hAnsi="Verdana" w:cs="Times New Roman"/>
          <w:color w:val="231F20"/>
          <w:sz w:val="18"/>
          <w:szCs w:val="24"/>
          <w:lang w:val="en-US" w:eastAsia="en-AU"/>
        </w:rPr>
        <w:t xml:space="preserve">DCI is often expressed in terms of percentage of overall catchment area. Research has concluded that risks to waterway health increases significantly when DCI exceeds 2% of catchment area. </w:t>
      </w:r>
    </w:p>
    <w:p w:rsidR="00DF1238" w:rsidRPr="00DF1238" w:rsidRDefault="00DF1238" w:rsidP="00DF1238">
      <w:pPr>
        <w:spacing w:after="240" w:line="320" w:lineRule="atLeast"/>
        <w:jc w:val="center"/>
        <w:rPr>
          <w:rFonts w:ascii="Verdana" w:eastAsia="Times New Roman" w:hAnsi="Verdana" w:cs="Times New Roman"/>
          <w:color w:val="00428B"/>
          <w:spacing w:val="1"/>
          <w:sz w:val="20"/>
          <w:szCs w:val="26"/>
        </w:rPr>
      </w:pPr>
      <w:r w:rsidRPr="00DF1238">
        <w:rPr>
          <w:rFonts w:ascii="Verdana" w:eastAsia="Times New Roman" w:hAnsi="Verdana" w:cs="Times New Roman"/>
          <w:color w:val="00428B"/>
          <w:spacing w:val="1"/>
          <w:sz w:val="20"/>
          <w:szCs w:val="26"/>
        </w:rPr>
        <w:lastRenderedPageBreak/>
        <w:t xml:space="preserve">Not exceeding this threshold of 2% DCI is a key aspiration behind the quantification of stormwater harvesting and infiltration targets </w:t>
      </w:r>
    </w:p>
    <w:p w:rsidR="00A442AC" w:rsidRDefault="00DF1238" w:rsidP="00DF1238">
      <w:pPr>
        <w:spacing w:after="0" w:line="320" w:lineRule="atLeast"/>
        <w:rPr>
          <w:rFonts w:ascii="Verdana" w:eastAsia="Times New Roman" w:hAnsi="Verdana" w:cs="Times New Roman"/>
          <w:color w:val="231F20"/>
          <w:sz w:val="18"/>
          <w:szCs w:val="18"/>
          <w:lang w:val="en-US" w:eastAsia="en-AU"/>
        </w:rPr>
      </w:pPr>
      <w:r w:rsidRPr="00DF1238">
        <w:rPr>
          <w:rFonts w:ascii="Verdana" w:eastAsia="Times New Roman" w:hAnsi="Verdana" w:cs="Times New Roman"/>
          <w:noProof/>
          <w:color w:val="2B579A"/>
          <w:sz w:val="18"/>
          <w:szCs w:val="24"/>
          <w:shd w:val="clear" w:color="auto" w:fill="E6E6E6"/>
          <w:lang w:eastAsia="en-AU"/>
        </w:rPr>
        <w:drawing>
          <wp:inline distT="0" distB="0" distL="0" distR="0">
            <wp:extent cx="3200400" cy="2851150"/>
            <wp:effectExtent l="0" t="0" r="0" b="6350"/>
            <wp:docPr id="8" name="Picture 8" title="Graph showing forest and grassland harvest and infiltration cur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00400" cy="2851150"/>
                    </a:xfrm>
                    <a:prstGeom prst="rect">
                      <a:avLst/>
                    </a:prstGeom>
                    <a:noFill/>
                  </pic:spPr>
                </pic:pic>
              </a:graphicData>
            </a:graphic>
          </wp:inline>
        </w:drawing>
      </w:r>
    </w:p>
    <w:p w:rsidR="00A442AC" w:rsidRPr="00A442AC" w:rsidRDefault="00A442AC" w:rsidP="00A442AC">
      <w:pPr>
        <w:spacing w:after="240" w:line="320" w:lineRule="atLeast"/>
        <w:jc w:val="both"/>
        <w:rPr>
          <w:rFonts w:ascii="Verdana" w:eastAsia="MS Mincho" w:hAnsi="Verdana" w:cs="Times New Roman"/>
          <w:i/>
          <w:iCs/>
          <w:color w:val="00428B"/>
          <w:sz w:val="16"/>
          <w:lang w:eastAsia="fr-CA"/>
        </w:rPr>
      </w:pPr>
      <w:r w:rsidRPr="00DF1238">
        <w:rPr>
          <w:rFonts w:ascii="Verdana" w:eastAsia="MS Mincho" w:hAnsi="Verdana" w:cs="Times New Roman"/>
          <w:i/>
          <w:iCs/>
          <w:color w:val="00428B"/>
          <w:sz w:val="16"/>
          <w:lang w:eastAsia="fr-CA"/>
        </w:rPr>
        <w:t xml:space="preserve">Figure </w:t>
      </w:r>
      <w:r w:rsidRPr="00DF1238">
        <w:rPr>
          <w:rFonts w:ascii="Verdana" w:eastAsia="MS Mincho" w:hAnsi="Verdana" w:cs="Times New Roman"/>
          <w:i/>
          <w:iCs/>
          <w:color w:val="00428B"/>
          <w:sz w:val="16"/>
          <w:shd w:val="clear" w:color="auto" w:fill="E6E6E6"/>
          <w:lang w:eastAsia="fr-CA"/>
        </w:rPr>
        <w:fldChar w:fldCharType="begin"/>
      </w:r>
      <w:r w:rsidRPr="00DF1238">
        <w:rPr>
          <w:rFonts w:ascii="Verdana" w:eastAsia="MS Mincho" w:hAnsi="Verdana" w:cs="Times New Roman"/>
          <w:i/>
          <w:iCs/>
          <w:color w:val="00428B"/>
          <w:sz w:val="16"/>
          <w:lang w:eastAsia="fr-CA"/>
        </w:rPr>
        <w:instrText xml:space="preserve"> SEQ Figure \* ARABIC </w:instrText>
      </w:r>
      <w:r w:rsidRPr="00DF1238">
        <w:rPr>
          <w:rFonts w:ascii="Verdana" w:eastAsia="MS Mincho" w:hAnsi="Verdana" w:cs="Times New Roman"/>
          <w:i/>
          <w:iCs/>
          <w:color w:val="00428B"/>
          <w:sz w:val="16"/>
          <w:shd w:val="clear" w:color="auto" w:fill="E6E6E6"/>
          <w:lang w:eastAsia="fr-CA"/>
        </w:rPr>
        <w:fldChar w:fldCharType="separate"/>
      </w:r>
      <w:r w:rsidRPr="00DF1238">
        <w:rPr>
          <w:rFonts w:ascii="Verdana" w:eastAsia="MS Mincho" w:hAnsi="Verdana" w:cs="Times New Roman"/>
          <w:i/>
          <w:iCs/>
          <w:noProof/>
          <w:color w:val="00428B"/>
          <w:sz w:val="16"/>
          <w:lang w:eastAsia="fr-CA"/>
        </w:rPr>
        <w:t>1</w:t>
      </w:r>
      <w:r w:rsidRPr="00DF1238">
        <w:rPr>
          <w:rFonts w:ascii="Verdana" w:eastAsia="MS Mincho" w:hAnsi="Verdana" w:cs="Times New Roman"/>
          <w:i/>
          <w:iCs/>
          <w:color w:val="00428B"/>
          <w:sz w:val="16"/>
          <w:shd w:val="clear" w:color="auto" w:fill="E6E6E6"/>
          <w:lang w:eastAsia="fr-CA"/>
        </w:rPr>
        <w:fldChar w:fldCharType="end"/>
      </w:r>
      <w:r w:rsidRPr="00DF1238">
        <w:rPr>
          <w:rFonts w:ascii="Verdana" w:eastAsia="MS Mincho" w:hAnsi="Verdana" w:cs="Times New Roman"/>
          <w:i/>
          <w:iCs/>
          <w:color w:val="00428B"/>
          <w:sz w:val="16"/>
          <w:lang w:eastAsia="fr-CA"/>
        </w:rPr>
        <w:t>. Impervious runoff volumes to harvest and infiltrate to not exceed 2% DCI threshold across rainfall gradients. (</w:t>
      </w:r>
      <w:hyperlink r:id="rId15" w:history="1">
        <w:r w:rsidRPr="00DF1238">
          <w:rPr>
            <w:rFonts w:ascii="Verdana" w:eastAsia="MS Mincho" w:hAnsi="Verdana" w:cs="Times New Roman"/>
            <w:i/>
            <w:iCs/>
            <w:color w:val="00428B"/>
            <w:sz w:val="16"/>
            <w:u w:val="single"/>
            <w:lang w:eastAsia="fr-CA"/>
          </w:rPr>
          <w:t>Walsh et al. 2012</w:t>
        </w:r>
      </w:hyperlink>
      <w:r w:rsidRPr="00DF1238">
        <w:rPr>
          <w:rFonts w:ascii="Verdana" w:eastAsia="MS Mincho" w:hAnsi="Verdana" w:cs="Times New Roman"/>
          <w:i/>
          <w:iCs/>
          <w:color w:val="00428B"/>
          <w:sz w:val="16"/>
          <w:lang w:eastAsia="fr-CA"/>
        </w:rPr>
        <w:t>).</w:t>
      </w:r>
    </w:p>
    <w:p w:rsidR="00A442AC" w:rsidRDefault="00DF1238" w:rsidP="00A442AC">
      <w:pPr>
        <w:spacing w:after="0" w:line="320" w:lineRule="atLeast"/>
        <w:rPr>
          <w:rFonts w:ascii="Verdana" w:eastAsia="Times New Roman" w:hAnsi="Verdana" w:cs="Times New Roman"/>
          <w:color w:val="231F20"/>
          <w:sz w:val="18"/>
          <w:szCs w:val="18"/>
          <w:lang w:val="en-US" w:eastAsia="en-AU"/>
        </w:rPr>
      </w:pPr>
      <w:r w:rsidRPr="00DF1238">
        <w:rPr>
          <w:rFonts w:ascii="Verdana" w:eastAsia="Times New Roman" w:hAnsi="Verdana" w:cs="Times New Roman"/>
          <w:color w:val="231F20"/>
          <w:sz w:val="18"/>
          <w:szCs w:val="18"/>
          <w:lang w:val="en-US" w:eastAsia="en-AU"/>
        </w:rPr>
        <w:t xml:space="preserve">It should be noted that the stormwater targets presented in the HWS have been derived based on gridded rainfall data which is at a higher resolution than the Model for Urban Stormwater Improvement Conceptualisation (MUSIC) modelling templates used by practitioners (discussed further below). The targets in this document have been brought in line with the modelling methods in the Melbourne Water MUSIC Guidelines 2018 to ensure they are applicable by industry practitioners. </w:t>
      </w:r>
    </w:p>
    <w:p w:rsidR="00A442AC" w:rsidRPr="00A442AC" w:rsidRDefault="00A442AC" w:rsidP="00A442AC">
      <w:pPr>
        <w:spacing w:after="0" w:line="320" w:lineRule="atLeast"/>
        <w:rPr>
          <w:rFonts w:ascii="Verdana" w:eastAsia="Times New Roman" w:hAnsi="Verdana" w:cs="Times New Roman"/>
          <w:color w:val="231F20"/>
          <w:sz w:val="18"/>
          <w:szCs w:val="18"/>
          <w:lang w:val="en-US" w:eastAsia="en-AU"/>
        </w:rPr>
      </w:pPr>
    </w:p>
    <w:p w:rsidR="00DF1238" w:rsidRPr="00DF1238" w:rsidRDefault="00DF1238" w:rsidP="00DF1238">
      <w:pPr>
        <w:spacing w:after="120" w:line="320" w:lineRule="atLeast"/>
        <w:rPr>
          <w:rFonts w:ascii="Verdana" w:eastAsia="Times New Roman" w:hAnsi="Verdana" w:cs="Times New Roman"/>
          <w:color w:val="231F20"/>
          <w:sz w:val="18"/>
          <w:szCs w:val="24"/>
          <w:lang w:val="en-US" w:eastAsia="en-AU"/>
        </w:rPr>
      </w:pPr>
      <w:r w:rsidRPr="00DF1238">
        <w:rPr>
          <w:rFonts w:ascii="Verdana" w:eastAsia="Times New Roman" w:hAnsi="Verdana" w:cs="Times New Roman"/>
          <w:color w:val="2B579A"/>
          <w:sz w:val="18"/>
          <w:szCs w:val="24"/>
          <w:shd w:val="clear" w:color="auto" w:fill="E6E6E6"/>
          <w:lang w:val="en-US" w:eastAsia="en-AU"/>
        </w:rPr>
        <w:fldChar w:fldCharType="begin"/>
      </w:r>
      <w:r w:rsidRPr="00DF1238">
        <w:rPr>
          <w:rFonts w:ascii="Verdana" w:eastAsia="Times New Roman" w:hAnsi="Verdana" w:cs="Times New Roman"/>
          <w:color w:val="231F20"/>
          <w:sz w:val="18"/>
          <w:szCs w:val="24"/>
          <w:lang w:val="en-US" w:eastAsia="en-AU"/>
        </w:rPr>
        <w:instrText xml:space="preserve"> REF _Ref68163256 \h  \* MERGEFORMAT </w:instrText>
      </w:r>
      <w:r w:rsidRPr="00DF1238">
        <w:rPr>
          <w:rFonts w:ascii="Verdana" w:eastAsia="Times New Roman" w:hAnsi="Verdana" w:cs="Times New Roman"/>
          <w:color w:val="2B579A"/>
          <w:sz w:val="18"/>
          <w:szCs w:val="24"/>
          <w:shd w:val="clear" w:color="auto" w:fill="E6E6E6"/>
          <w:lang w:val="en-US" w:eastAsia="en-AU"/>
        </w:rPr>
      </w:r>
      <w:r w:rsidRPr="00DF1238">
        <w:rPr>
          <w:rFonts w:ascii="Verdana" w:eastAsia="Times New Roman" w:hAnsi="Verdana" w:cs="Times New Roman"/>
          <w:color w:val="2B579A"/>
          <w:sz w:val="18"/>
          <w:szCs w:val="24"/>
          <w:shd w:val="clear" w:color="auto" w:fill="E6E6E6"/>
          <w:lang w:val="en-US" w:eastAsia="en-AU"/>
        </w:rPr>
        <w:fldChar w:fldCharType="separate"/>
      </w:r>
      <w:r w:rsidRPr="00DF1238">
        <w:rPr>
          <w:rFonts w:ascii="Verdana" w:eastAsia="Times New Roman" w:hAnsi="Verdana" w:cs="Times New Roman"/>
          <w:color w:val="231F20"/>
          <w:sz w:val="18"/>
          <w:szCs w:val="24"/>
          <w:lang w:val="en-US" w:eastAsia="en-AU"/>
        </w:rPr>
        <w:t>Figure 1</w:t>
      </w:r>
      <w:r w:rsidRPr="00DF1238">
        <w:rPr>
          <w:rFonts w:ascii="Verdana" w:eastAsia="Times New Roman" w:hAnsi="Verdana" w:cs="Times New Roman"/>
          <w:color w:val="2B579A"/>
          <w:sz w:val="18"/>
          <w:szCs w:val="24"/>
          <w:shd w:val="clear" w:color="auto" w:fill="E6E6E6"/>
          <w:lang w:val="en-US" w:eastAsia="en-AU"/>
        </w:rPr>
        <w:fldChar w:fldCharType="end"/>
      </w:r>
      <w:r w:rsidRPr="00DF1238">
        <w:rPr>
          <w:rFonts w:ascii="Verdana" w:eastAsia="Times New Roman" w:hAnsi="Verdana" w:cs="Times New Roman"/>
          <w:color w:val="231F20"/>
          <w:sz w:val="18"/>
          <w:szCs w:val="24"/>
          <w:lang w:val="en-US" w:eastAsia="en-AU"/>
        </w:rPr>
        <w:t xml:space="preserve"> shows the volume of stormwater runoff that needs to be harvested and infiltrated per Ha of impervious surface (as a function of rainfall) to achieve low levels of DCI across rainfall gradients. The width of the curve reflects a range of possible catchment characteristics. That is, where the original catchment was grassland (upper bound for infiltration / lower bound for harvesting) through to forested (lower bound for infiltration / upper bound for harvesting).</w:t>
      </w:r>
    </w:p>
    <w:p w:rsidR="00A442AC" w:rsidRDefault="00DF1238" w:rsidP="00DF1238">
      <w:pPr>
        <w:spacing w:after="120" w:line="320" w:lineRule="atLeast"/>
        <w:rPr>
          <w:rFonts w:ascii="Verdana" w:eastAsia="Times New Roman" w:hAnsi="Verdana" w:cs="Times New Roman"/>
          <w:color w:val="231F20"/>
          <w:sz w:val="18"/>
          <w:szCs w:val="18"/>
          <w:lang w:val="en-US" w:eastAsia="en-AU"/>
        </w:rPr>
      </w:pPr>
      <w:r w:rsidRPr="00DF1238">
        <w:rPr>
          <w:rFonts w:ascii="Verdana" w:eastAsia="Times New Roman" w:hAnsi="Verdana" w:cs="Times New Roman"/>
          <w:noProof/>
          <w:color w:val="2B579A"/>
          <w:sz w:val="18"/>
          <w:szCs w:val="24"/>
          <w:shd w:val="clear" w:color="auto" w:fill="E6E6E6"/>
          <w:lang w:eastAsia="en-AU"/>
        </w:rPr>
        <w:lastRenderedPageBreak/>
        <w:drawing>
          <wp:inline distT="0" distB="0" distL="0" distR="0">
            <wp:extent cx="3152775" cy="2809875"/>
            <wp:effectExtent l="0" t="0" r="9525" b="9525"/>
            <wp:docPr id="12" name="Picture 12" title="Graph showing harvesting and infiltration targets per impervious hectare for 800mm rainfall cat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52775" cy="2809875"/>
                    </a:xfrm>
                    <a:prstGeom prst="rect">
                      <a:avLst/>
                    </a:prstGeom>
                    <a:noFill/>
                  </pic:spPr>
                </pic:pic>
              </a:graphicData>
            </a:graphic>
          </wp:inline>
        </w:drawing>
      </w:r>
    </w:p>
    <w:p w:rsidR="00A442AC" w:rsidRDefault="00A442AC" w:rsidP="00A442AC">
      <w:pPr>
        <w:spacing w:after="120" w:line="320" w:lineRule="atLeast"/>
        <w:rPr>
          <w:rFonts w:ascii="Verdana" w:eastAsia="Times New Roman" w:hAnsi="Verdana" w:cs="Times New Roman"/>
          <w:color w:val="231F20"/>
          <w:sz w:val="18"/>
          <w:szCs w:val="18"/>
          <w:lang w:val="en-US" w:eastAsia="en-AU"/>
        </w:rPr>
      </w:pPr>
      <w:r w:rsidRPr="00DF1238">
        <w:rPr>
          <w:rFonts w:ascii="Verdana" w:eastAsia="Verdana" w:hAnsi="Verdana" w:cs="Times New Roman"/>
          <w:i/>
          <w:iCs/>
          <w:color w:val="00428B"/>
          <w:sz w:val="16"/>
          <w:szCs w:val="24"/>
          <w:lang w:eastAsia="fr-CA"/>
        </w:rPr>
        <w:t xml:space="preserve">Figure </w:t>
      </w:r>
      <w:r w:rsidRPr="00DF1238">
        <w:rPr>
          <w:rFonts w:ascii="Verdana" w:eastAsia="Verdana" w:hAnsi="Verdana" w:cs="Times New Roman"/>
          <w:i/>
          <w:iCs/>
          <w:color w:val="00428B"/>
          <w:sz w:val="16"/>
          <w:szCs w:val="24"/>
          <w:shd w:val="clear" w:color="auto" w:fill="E6E6E6"/>
          <w:lang w:eastAsia="fr-CA"/>
        </w:rPr>
        <w:fldChar w:fldCharType="begin"/>
      </w:r>
      <w:r w:rsidRPr="00DF1238">
        <w:rPr>
          <w:rFonts w:ascii="Verdana" w:eastAsia="Verdana" w:hAnsi="Verdana" w:cs="Times New Roman"/>
          <w:i/>
          <w:iCs/>
          <w:color w:val="00428B"/>
          <w:sz w:val="16"/>
          <w:szCs w:val="24"/>
          <w:lang w:eastAsia="fr-CA"/>
        </w:rPr>
        <w:instrText xml:space="preserve"> SEQ Figure \* ARABIC </w:instrText>
      </w:r>
      <w:r w:rsidRPr="00DF1238">
        <w:rPr>
          <w:rFonts w:ascii="Verdana" w:eastAsia="Verdana" w:hAnsi="Verdana" w:cs="Times New Roman"/>
          <w:i/>
          <w:iCs/>
          <w:color w:val="00428B"/>
          <w:sz w:val="16"/>
          <w:szCs w:val="24"/>
          <w:shd w:val="clear" w:color="auto" w:fill="E6E6E6"/>
          <w:lang w:eastAsia="fr-CA"/>
        </w:rPr>
        <w:fldChar w:fldCharType="separate"/>
      </w:r>
      <w:r w:rsidRPr="00DF1238">
        <w:rPr>
          <w:rFonts w:ascii="Verdana" w:eastAsia="Verdana" w:hAnsi="Verdana" w:cs="Times New Roman"/>
          <w:i/>
          <w:iCs/>
          <w:noProof/>
          <w:color w:val="00428B"/>
          <w:sz w:val="16"/>
          <w:szCs w:val="24"/>
          <w:lang w:eastAsia="fr-CA"/>
        </w:rPr>
        <w:t>2</w:t>
      </w:r>
      <w:r w:rsidRPr="00DF1238">
        <w:rPr>
          <w:rFonts w:ascii="Verdana" w:eastAsia="Verdana" w:hAnsi="Verdana" w:cs="Times New Roman"/>
          <w:i/>
          <w:iCs/>
          <w:color w:val="00428B"/>
          <w:sz w:val="16"/>
          <w:szCs w:val="24"/>
          <w:shd w:val="clear" w:color="auto" w:fill="E6E6E6"/>
          <w:lang w:eastAsia="fr-CA"/>
        </w:rPr>
        <w:fldChar w:fldCharType="end"/>
      </w:r>
      <w:r w:rsidRPr="00DF1238">
        <w:rPr>
          <w:rFonts w:ascii="Verdana" w:eastAsia="Verdana" w:hAnsi="Verdana" w:cs="Times New Roman"/>
          <w:i/>
          <w:iCs/>
          <w:color w:val="00428B"/>
          <w:sz w:val="16"/>
          <w:szCs w:val="24"/>
          <w:lang w:eastAsia="fr-CA"/>
        </w:rPr>
        <w:t>. Example harvesting and infiltration targets per impervious Ha for an 800mm rainfall catchment</w:t>
      </w:r>
    </w:p>
    <w:p w:rsidR="00DF1238" w:rsidRPr="00DF1238" w:rsidRDefault="00DF1238" w:rsidP="00A442AC">
      <w:pPr>
        <w:spacing w:after="120" w:line="320" w:lineRule="atLeast"/>
        <w:rPr>
          <w:rFonts w:ascii="Verdana" w:eastAsia="Times New Roman" w:hAnsi="Verdana" w:cs="Times New Roman"/>
          <w:color w:val="231F20"/>
          <w:sz w:val="18"/>
          <w:szCs w:val="24"/>
          <w:lang w:val="en-US" w:eastAsia="en-AU"/>
        </w:rPr>
      </w:pPr>
      <w:r w:rsidRPr="00DF1238">
        <w:rPr>
          <w:rFonts w:ascii="Verdana" w:eastAsia="Times New Roman" w:hAnsi="Verdana" w:cs="Times New Roman"/>
          <w:color w:val="231F20"/>
          <w:sz w:val="18"/>
          <w:szCs w:val="18"/>
          <w:lang w:val="en-US" w:eastAsia="en-AU"/>
        </w:rPr>
        <w:t>This relationship is the basis for the HWS targets that are expressed in terms of megalitre per hectare of impervious surface (or ML/Ha).</w:t>
      </w:r>
      <w:r w:rsidR="00A442AC">
        <w:rPr>
          <w:rFonts w:ascii="Verdana" w:eastAsia="Times New Roman" w:hAnsi="Verdana" w:cs="Times New Roman"/>
          <w:color w:val="231F20"/>
          <w:sz w:val="18"/>
          <w:szCs w:val="24"/>
          <w:lang w:val="en-US" w:eastAsia="en-AU"/>
        </w:rPr>
        <w:t xml:space="preserve"> </w:t>
      </w:r>
      <w:r w:rsidRPr="00DF1238">
        <w:rPr>
          <w:rFonts w:ascii="Verdana" w:eastAsia="Times New Roman" w:hAnsi="Verdana" w:cs="Times New Roman"/>
          <w:color w:val="231F20"/>
          <w:sz w:val="18"/>
          <w:szCs w:val="24"/>
          <w:lang w:val="en-US" w:eastAsia="en-AU"/>
        </w:rPr>
        <w:t xml:space="preserve">For example, taking the centre of each band, in a sub-catchment with 800mm of rainfall a year, each additional hectare of impervious area will require harvesting at approximately 4.7 ML/year and infiltration at approximately 1.8 ML/year in order to not exceed the 2% DCI threshold. </w:t>
      </w:r>
    </w:p>
    <w:p w:rsidR="00DF1238" w:rsidRPr="00DF1238" w:rsidRDefault="00DF1238" w:rsidP="00A442AC">
      <w:pPr>
        <w:spacing w:after="240" w:line="320" w:lineRule="atLeast"/>
        <w:rPr>
          <w:rFonts w:ascii="Verdana" w:eastAsia="Times New Roman" w:hAnsi="Verdana" w:cs="Times New Roman"/>
          <w:color w:val="231F20"/>
          <w:sz w:val="18"/>
          <w:szCs w:val="24"/>
          <w:lang w:val="en-US" w:eastAsia="en-AU"/>
        </w:rPr>
      </w:pPr>
      <w:r w:rsidRPr="00DF1238">
        <w:rPr>
          <w:rFonts w:ascii="Verdana" w:eastAsia="Times New Roman" w:hAnsi="Verdana" w:cs="Times New Roman"/>
          <w:color w:val="231F20"/>
          <w:sz w:val="18"/>
          <w:szCs w:val="24"/>
          <w:lang w:val="en-US" w:eastAsia="en-AU"/>
        </w:rPr>
        <w:t xml:space="preserve">In the HWS these targets are expressed for each priority area. For example, for the Merri Creek Upper sub-catchment the targets for stormwater harvesting and infiltration are </w:t>
      </w:r>
      <w:r w:rsidRPr="00DF1238">
        <w:rPr>
          <w:rFonts w:ascii="Verdana" w:eastAsia="Times New Roman" w:hAnsi="Verdana" w:cs="Times New Roman"/>
          <w:i/>
          <w:color w:val="231F20"/>
          <w:sz w:val="18"/>
          <w:szCs w:val="24"/>
          <w:lang w:val="en-US" w:eastAsia="en-AU"/>
        </w:rPr>
        <w:t>4.5 ML/y/ha of new impervious area and 1.1 ML/y/ha of new impervious area respectively. This equates to about 21.4 GL/y and 5.2 GL/y respectively at full development to the urban growth boundary</w:t>
      </w:r>
      <w:r w:rsidRPr="00DF1238">
        <w:rPr>
          <w:rFonts w:ascii="Verdana" w:eastAsia="Times New Roman" w:hAnsi="Verdana" w:cs="Times New Roman"/>
          <w:color w:val="231F20"/>
          <w:sz w:val="18"/>
          <w:szCs w:val="24"/>
          <w:lang w:val="en-US" w:eastAsia="en-AU"/>
        </w:rPr>
        <w:t>.</w:t>
      </w:r>
      <w:r w:rsidR="00A442AC">
        <w:rPr>
          <w:rFonts w:ascii="Verdana" w:eastAsia="Times New Roman" w:hAnsi="Verdana" w:cs="Times New Roman"/>
          <w:color w:val="231F20"/>
          <w:sz w:val="18"/>
          <w:szCs w:val="24"/>
          <w:lang w:val="en-US" w:eastAsia="en-AU"/>
        </w:rPr>
        <w:t xml:space="preserve"> </w:t>
      </w:r>
      <w:r w:rsidRPr="00DF1238">
        <w:rPr>
          <w:rFonts w:ascii="Verdana" w:eastAsia="Times New Roman" w:hAnsi="Verdana" w:cs="Times New Roman"/>
          <w:color w:val="231F20"/>
          <w:sz w:val="18"/>
          <w:szCs w:val="24"/>
          <w:lang w:val="en-US" w:eastAsia="en-AU"/>
        </w:rPr>
        <w:t xml:space="preserve">To link the HWS targets and the performance objectives within the EPA’s </w:t>
      </w:r>
      <w:r w:rsidRPr="00DF1238">
        <w:rPr>
          <w:rFonts w:ascii="Verdana" w:eastAsia="Times New Roman" w:hAnsi="Verdana" w:cs="Times New Roman"/>
          <w:i/>
          <w:iCs/>
          <w:color w:val="231F20"/>
          <w:sz w:val="18"/>
          <w:szCs w:val="24"/>
          <w:lang w:val="en-US" w:eastAsia="en-AU"/>
        </w:rPr>
        <w:t>Urban Stormwater Management Guidance</w:t>
      </w:r>
      <w:r w:rsidRPr="00DF1238">
        <w:rPr>
          <w:rFonts w:ascii="Verdana" w:eastAsia="Times New Roman" w:hAnsi="Verdana" w:cs="Times New Roman"/>
          <w:color w:val="231F20"/>
          <w:sz w:val="18"/>
          <w:szCs w:val="24"/>
          <w:lang w:val="en-US" w:eastAsia="en-AU"/>
        </w:rPr>
        <w:t xml:space="preserve">, the HWS targets can also be expressed as a percentage of the impervious runoff generated in the catchment. </w:t>
      </w:r>
    </w:p>
    <w:p w:rsidR="00DF1238" w:rsidRPr="00DF1238" w:rsidRDefault="00DF1238" w:rsidP="00DF1238">
      <w:pPr>
        <w:tabs>
          <w:tab w:val="left" w:pos="2268"/>
          <w:tab w:val="left" w:pos="4536"/>
          <w:tab w:val="left" w:pos="6804"/>
          <w:tab w:val="right" w:pos="9638"/>
        </w:tabs>
        <w:spacing w:before="120" w:after="200" w:line="320" w:lineRule="atLeast"/>
        <w:rPr>
          <w:rFonts w:ascii="Verdana" w:eastAsia="Times New Roman" w:hAnsi="Verdana" w:cs="Times New Roman"/>
          <w:color w:val="231F20"/>
          <w:sz w:val="18"/>
          <w:szCs w:val="18"/>
          <w:lang w:eastAsia="en-AU"/>
        </w:rPr>
      </w:pPr>
      <w:r w:rsidRPr="00DF1238">
        <w:rPr>
          <w:rFonts w:ascii="Verdana" w:eastAsia="Times New Roman" w:hAnsi="Verdana" w:cs="Times New Roman"/>
          <w:color w:val="231F20"/>
          <w:sz w:val="18"/>
          <w:szCs w:val="18"/>
          <w:lang w:val="en-US" w:eastAsia="en-AU"/>
        </w:rPr>
        <w:t xml:space="preserve">When expressed in percentages, the </w:t>
      </w:r>
      <w:r w:rsidRPr="00DF1238">
        <w:rPr>
          <w:rFonts w:ascii="Verdana" w:eastAsia="Times New Roman" w:hAnsi="Verdana" w:cs="Times New Roman"/>
          <w:b/>
          <w:bCs/>
          <w:color w:val="231F20"/>
          <w:sz w:val="18"/>
          <w:szCs w:val="18"/>
          <w:lang w:val="en-US" w:eastAsia="en-AU"/>
        </w:rPr>
        <w:t>stormwater harvesting targets</w:t>
      </w:r>
      <w:r w:rsidRPr="00DF1238">
        <w:rPr>
          <w:rFonts w:ascii="Verdana" w:eastAsia="Times New Roman" w:hAnsi="Verdana" w:cs="Times New Roman"/>
          <w:color w:val="231F20"/>
          <w:sz w:val="18"/>
          <w:szCs w:val="18"/>
          <w:lang w:val="en-US" w:eastAsia="en-AU"/>
        </w:rPr>
        <w:t xml:space="preserve"> in the HWS and EPA guidance are equivalent. This target reflects criticality of flow reduction in protecting waterways and the experience of </w:t>
      </w:r>
      <w:r w:rsidRPr="00DF1238">
        <w:rPr>
          <w:rFonts w:ascii="Verdana" w:eastAsia="Times New Roman" w:hAnsi="Verdana" w:cs="Times New Roman"/>
          <w:color w:val="231F20"/>
          <w:sz w:val="18"/>
          <w:szCs w:val="18"/>
          <w:lang w:eastAsia="en-AU"/>
        </w:rPr>
        <w:t>the water industry in planning and implementing stormwater harvesting schemes. This maturity brings with it an expectation that harvesting is implementable, and able to contribute to our targets. In ‘other (or non-priority) areas’ the targets are defined as being 40% of the target in priority areas. This is aimed at improving management in these areas and recognising that protecting waterways even in modified areas remains important.</w:t>
      </w:r>
    </w:p>
    <w:p w:rsidR="00DF1238" w:rsidRPr="00DF1238" w:rsidRDefault="00DF1238" w:rsidP="00DF1238">
      <w:pPr>
        <w:tabs>
          <w:tab w:val="left" w:pos="2268"/>
          <w:tab w:val="left" w:pos="4536"/>
          <w:tab w:val="left" w:pos="6804"/>
          <w:tab w:val="right" w:pos="9638"/>
        </w:tabs>
        <w:spacing w:before="120" w:after="200" w:line="320" w:lineRule="atLeast"/>
        <w:rPr>
          <w:rFonts w:ascii="Verdana" w:eastAsia="Times New Roman" w:hAnsi="Verdana" w:cs="Times New Roman"/>
          <w:color w:val="231F20"/>
          <w:sz w:val="18"/>
          <w:szCs w:val="24"/>
          <w:lang w:eastAsia="en-AU"/>
        </w:rPr>
      </w:pPr>
      <w:r w:rsidRPr="00DF1238">
        <w:rPr>
          <w:rFonts w:ascii="Verdana" w:eastAsia="Times New Roman" w:hAnsi="Verdana" w:cs="Times New Roman"/>
          <w:color w:val="231F20"/>
          <w:sz w:val="18"/>
          <w:szCs w:val="24"/>
          <w:lang w:eastAsia="en-AU"/>
        </w:rPr>
        <w:t xml:space="preserve">Conversely, there is a difference between the </w:t>
      </w:r>
      <w:r w:rsidRPr="00DF1238">
        <w:rPr>
          <w:rFonts w:ascii="Verdana" w:eastAsia="Times New Roman" w:hAnsi="Verdana" w:cs="Times New Roman"/>
          <w:b/>
          <w:bCs/>
          <w:color w:val="231F20"/>
          <w:sz w:val="18"/>
          <w:szCs w:val="24"/>
          <w:lang w:eastAsia="en-AU"/>
        </w:rPr>
        <w:t>infiltration targets</w:t>
      </w:r>
      <w:r w:rsidRPr="00DF1238">
        <w:rPr>
          <w:rFonts w:ascii="Verdana" w:eastAsia="Times New Roman" w:hAnsi="Verdana" w:cs="Times New Roman"/>
          <w:color w:val="231F20"/>
          <w:sz w:val="18"/>
          <w:szCs w:val="24"/>
          <w:lang w:eastAsia="en-AU"/>
        </w:rPr>
        <w:t xml:space="preserve"> in the HWS and EPA documents. Melbourne Water and the EPA have agreed upon the adoption of the minimum infiltration target curve in Figure 1 for the given rainfall in this practitioner’s note. That is, the infiltration target is to be read from the bottom of the ‘volume range to filter’ in </w:t>
      </w:r>
      <w:r w:rsidRPr="00DF1238">
        <w:rPr>
          <w:rFonts w:ascii="Verdana" w:eastAsia="Times New Roman" w:hAnsi="Verdana" w:cs="Times New Roman"/>
          <w:color w:val="231F20"/>
          <w:sz w:val="18"/>
          <w:szCs w:val="24"/>
          <w:lang w:eastAsia="en-AU"/>
        </w:rPr>
        <w:fldChar w:fldCharType="begin"/>
      </w:r>
      <w:r w:rsidRPr="00DF1238">
        <w:rPr>
          <w:rFonts w:ascii="Verdana" w:eastAsia="Times New Roman" w:hAnsi="Verdana" w:cs="Times New Roman"/>
          <w:color w:val="231F20"/>
          <w:sz w:val="18"/>
          <w:szCs w:val="24"/>
          <w:lang w:eastAsia="en-AU"/>
        </w:rPr>
        <w:instrText xml:space="preserve"> REF _Ref68163256 \h  \* MERGEFORMAT </w:instrText>
      </w:r>
      <w:r w:rsidRPr="00DF1238">
        <w:rPr>
          <w:rFonts w:ascii="Verdana" w:eastAsia="Times New Roman" w:hAnsi="Verdana" w:cs="Times New Roman"/>
          <w:color w:val="231F20"/>
          <w:sz w:val="18"/>
          <w:szCs w:val="24"/>
          <w:lang w:eastAsia="en-AU"/>
        </w:rPr>
      </w:r>
      <w:r w:rsidRPr="00DF1238">
        <w:rPr>
          <w:rFonts w:ascii="Verdana" w:eastAsia="Times New Roman" w:hAnsi="Verdana" w:cs="Times New Roman"/>
          <w:color w:val="231F20"/>
          <w:sz w:val="18"/>
          <w:szCs w:val="24"/>
          <w:lang w:eastAsia="en-AU"/>
        </w:rPr>
        <w:fldChar w:fldCharType="separate"/>
      </w:r>
      <w:r w:rsidRPr="00DF1238">
        <w:rPr>
          <w:rFonts w:ascii="Verdana" w:eastAsia="Times New Roman" w:hAnsi="Verdana" w:cs="Times New Roman"/>
          <w:color w:val="231F20"/>
          <w:sz w:val="18"/>
          <w:szCs w:val="24"/>
          <w:lang w:eastAsia="en-AU"/>
        </w:rPr>
        <w:t>Figure 1</w:t>
      </w:r>
      <w:r w:rsidRPr="00DF1238">
        <w:rPr>
          <w:rFonts w:ascii="Verdana" w:eastAsia="Times New Roman" w:hAnsi="Verdana" w:cs="Times New Roman"/>
          <w:color w:val="231F20"/>
          <w:sz w:val="18"/>
          <w:szCs w:val="24"/>
          <w:lang w:eastAsia="en-AU"/>
        </w:rPr>
        <w:fldChar w:fldCharType="end"/>
      </w:r>
      <w:r w:rsidRPr="00DF1238">
        <w:rPr>
          <w:rFonts w:ascii="Verdana" w:eastAsia="Times New Roman" w:hAnsi="Verdana" w:cs="Times New Roman"/>
          <w:color w:val="231F20"/>
          <w:sz w:val="18"/>
          <w:szCs w:val="24"/>
          <w:lang w:eastAsia="en-AU"/>
        </w:rPr>
        <w:t xml:space="preserve"> above for priority areas. This is in recognition of the relative infancy of infiltration technologies, the need for clear industry guidance and the relatively limited application of infiltration assets in the development context currently. It is also recognised that a degree of infiltration may be achieved indirectly, e.g. through irrigation, leaking water mains and ageing drainage infrastructure.</w:t>
      </w:r>
    </w:p>
    <w:p w:rsidR="00DF1238" w:rsidRPr="00DF1238" w:rsidRDefault="00DF1238" w:rsidP="00DF1238">
      <w:pPr>
        <w:keepNext/>
        <w:keepLines/>
        <w:spacing w:before="360" w:after="120" w:line="240" w:lineRule="auto"/>
        <w:outlineLvl w:val="0"/>
        <w:rPr>
          <w:rFonts w:ascii="Verdana" w:eastAsia="MS Mincho" w:hAnsi="Verdana" w:cs="Times New Roman"/>
          <w:b/>
          <w:bCs/>
          <w:color w:val="00428B"/>
          <w:sz w:val="24"/>
          <w:szCs w:val="36"/>
          <w:lang w:eastAsia="en-AU"/>
        </w:rPr>
      </w:pPr>
      <w:r w:rsidRPr="00DF1238">
        <w:rPr>
          <w:rFonts w:ascii="Verdana" w:eastAsia="MS Mincho" w:hAnsi="Verdana" w:cs="Times New Roman"/>
          <w:b/>
          <w:bCs/>
          <w:color w:val="00428B"/>
          <w:sz w:val="24"/>
          <w:szCs w:val="36"/>
          <w:lang w:eastAsia="en-AU"/>
        </w:rPr>
        <w:lastRenderedPageBreak/>
        <w:t>Estimating stormwater targets</w:t>
      </w:r>
    </w:p>
    <w:p w:rsidR="00DF1238" w:rsidRPr="00DF1238" w:rsidRDefault="00DF1238" w:rsidP="00DF1238">
      <w:pPr>
        <w:spacing w:after="240" w:line="320" w:lineRule="atLeast"/>
        <w:rPr>
          <w:rFonts w:ascii="Verdana" w:eastAsia="Times New Roman" w:hAnsi="Verdana" w:cs="Times New Roman"/>
          <w:color w:val="231F20"/>
          <w:sz w:val="18"/>
          <w:szCs w:val="24"/>
          <w:lang w:val="en-US" w:eastAsia="en-AU"/>
        </w:rPr>
      </w:pPr>
      <w:r w:rsidRPr="00DF1238">
        <w:rPr>
          <w:rFonts w:ascii="Verdana" w:eastAsia="Times New Roman" w:hAnsi="Verdana" w:cs="Times New Roman"/>
          <w:color w:val="231F20"/>
          <w:sz w:val="18"/>
          <w:szCs w:val="24"/>
          <w:lang w:val="en-US" w:eastAsia="en-AU"/>
        </w:rPr>
        <w:t xml:space="preserve">Practitioners that are estimating harvesting and infiltration targets for new impervious areas within HWS priority areas, will use one of six MUSIC modelling templates that have been prepared by Melbourne Water to support the identification of stormwater targets. Each template represents a different geography and rainfall ‘band’ across Metropolitan Melbourne. </w:t>
      </w:r>
      <w:r w:rsidRPr="00DF1238">
        <w:rPr>
          <w:rFonts w:ascii="Verdana" w:eastAsia="Times New Roman" w:hAnsi="Verdana" w:cs="Times New Roman"/>
          <w:color w:val="231F20"/>
          <w:sz w:val="18"/>
          <w:szCs w:val="24"/>
          <w:lang w:val="en-US" w:eastAsia="en-AU"/>
        </w:rPr>
        <w:fldChar w:fldCharType="begin"/>
      </w:r>
      <w:r w:rsidRPr="00DF1238">
        <w:rPr>
          <w:rFonts w:ascii="Verdana" w:eastAsia="Times New Roman" w:hAnsi="Verdana" w:cs="Times New Roman"/>
          <w:color w:val="231F20"/>
          <w:sz w:val="18"/>
          <w:szCs w:val="24"/>
          <w:lang w:val="en-US" w:eastAsia="en-AU"/>
        </w:rPr>
        <w:instrText xml:space="preserve"> REF _Ref68703389 \h  \* MERGEFORMAT </w:instrText>
      </w:r>
      <w:r w:rsidRPr="00DF1238">
        <w:rPr>
          <w:rFonts w:ascii="Verdana" w:eastAsia="Times New Roman" w:hAnsi="Verdana" w:cs="Times New Roman"/>
          <w:color w:val="231F20"/>
          <w:sz w:val="18"/>
          <w:szCs w:val="24"/>
          <w:lang w:val="en-US" w:eastAsia="en-AU"/>
        </w:rPr>
      </w:r>
      <w:r w:rsidRPr="00DF1238">
        <w:rPr>
          <w:rFonts w:ascii="Verdana" w:eastAsia="Times New Roman" w:hAnsi="Verdana" w:cs="Times New Roman"/>
          <w:color w:val="231F20"/>
          <w:sz w:val="18"/>
          <w:szCs w:val="24"/>
          <w:lang w:val="en-US" w:eastAsia="en-AU"/>
        </w:rPr>
        <w:fldChar w:fldCharType="separate"/>
      </w:r>
      <w:r w:rsidRPr="00DF1238">
        <w:rPr>
          <w:rFonts w:ascii="Verdana" w:eastAsia="Times New Roman" w:hAnsi="Verdana" w:cs="Times New Roman"/>
          <w:color w:val="231F20"/>
          <w:sz w:val="18"/>
          <w:szCs w:val="24"/>
          <w:lang w:val="en-US" w:eastAsia="en-AU"/>
        </w:rPr>
        <w:t>Figure 3</w:t>
      </w:r>
      <w:r w:rsidRPr="00DF1238">
        <w:rPr>
          <w:rFonts w:ascii="Verdana" w:eastAsia="Times New Roman" w:hAnsi="Verdana" w:cs="Times New Roman"/>
          <w:color w:val="231F20"/>
          <w:sz w:val="18"/>
          <w:szCs w:val="24"/>
          <w:lang w:val="en-US" w:eastAsia="en-AU"/>
        </w:rPr>
        <w:fldChar w:fldCharType="end"/>
      </w:r>
      <w:r w:rsidRPr="00DF1238">
        <w:rPr>
          <w:rFonts w:ascii="Verdana" w:eastAsia="Times New Roman" w:hAnsi="Verdana" w:cs="Times New Roman"/>
          <w:color w:val="231F20"/>
          <w:sz w:val="18"/>
          <w:szCs w:val="24"/>
          <w:lang w:val="en-US" w:eastAsia="en-AU"/>
        </w:rPr>
        <w:t xml:space="preserve"> below shows: </w:t>
      </w:r>
    </w:p>
    <w:p w:rsidR="00DF1238" w:rsidRPr="00DF1238" w:rsidRDefault="00DF1238" w:rsidP="00DF1238">
      <w:pPr>
        <w:numPr>
          <w:ilvl w:val="0"/>
          <w:numId w:val="5"/>
        </w:numPr>
        <w:tabs>
          <w:tab w:val="left" w:pos="2268"/>
          <w:tab w:val="left" w:pos="4536"/>
          <w:tab w:val="left" w:pos="6804"/>
          <w:tab w:val="right" w:pos="9638"/>
        </w:tabs>
        <w:spacing w:before="120" w:after="200" w:line="320" w:lineRule="atLeast"/>
        <w:rPr>
          <w:rFonts w:ascii="Verdana" w:eastAsia="Times New Roman" w:hAnsi="Verdana" w:cs="Times New Roman"/>
          <w:color w:val="231F20"/>
          <w:sz w:val="18"/>
          <w:szCs w:val="24"/>
          <w:lang w:val="en-US" w:eastAsia="en-AU"/>
        </w:rPr>
      </w:pPr>
      <w:r w:rsidRPr="00DF1238">
        <w:rPr>
          <w:rFonts w:ascii="Verdana" w:eastAsia="Times New Roman" w:hAnsi="Verdana" w:cs="Times New Roman"/>
          <w:color w:val="231F20"/>
          <w:sz w:val="18"/>
          <w:szCs w:val="24"/>
          <w:lang w:val="en-US" w:eastAsia="en-AU"/>
        </w:rPr>
        <w:t>The HWS harvesting and infiltration targets for priority areas</w:t>
      </w:r>
    </w:p>
    <w:p w:rsidR="00DF1238" w:rsidRPr="00DF1238" w:rsidRDefault="00DF1238" w:rsidP="00DF1238">
      <w:pPr>
        <w:numPr>
          <w:ilvl w:val="0"/>
          <w:numId w:val="5"/>
        </w:numPr>
        <w:tabs>
          <w:tab w:val="left" w:pos="2268"/>
          <w:tab w:val="left" w:pos="4536"/>
          <w:tab w:val="left" w:pos="6804"/>
          <w:tab w:val="right" w:pos="9638"/>
        </w:tabs>
        <w:spacing w:before="120" w:after="200" w:line="320" w:lineRule="atLeast"/>
        <w:rPr>
          <w:rFonts w:ascii="Verdana" w:eastAsia="Times New Roman" w:hAnsi="Verdana" w:cs="Times New Roman"/>
          <w:color w:val="231F20"/>
          <w:sz w:val="18"/>
          <w:szCs w:val="24"/>
          <w:lang w:val="en-US" w:eastAsia="en-AU"/>
        </w:rPr>
      </w:pPr>
      <w:r w:rsidRPr="00DF1238">
        <w:rPr>
          <w:rFonts w:ascii="Verdana" w:eastAsia="Times New Roman" w:hAnsi="Verdana" w:cs="Times New Roman"/>
          <w:color w:val="231F20"/>
          <w:sz w:val="18"/>
          <w:szCs w:val="24"/>
          <w:lang w:val="en-US" w:eastAsia="en-AU"/>
        </w:rPr>
        <w:t>The EPA guidance targets for other areas</w:t>
      </w:r>
    </w:p>
    <w:p w:rsidR="00DF1238" w:rsidRPr="00DF1238" w:rsidRDefault="00DF1238" w:rsidP="00DF1238">
      <w:pPr>
        <w:numPr>
          <w:ilvl w:val="0"/>
          <w:numId w:val="5"/>
        </w:numPr>
        <w:tabs>
          <w:tab w:val="left" w:pos="2268"/>
          <w:tab w:val="left" w:pos="4536"/>
          <w:tab w:val="left" w:pos="6804"/>
          <w:tab w:val="right" w:pos="9638"/>
        </w:tabs>
        <w:spacing w:before="120" w:after="200" w:line="320" w:lineRule="atLeast"/>
        <w:rPr>
          <w:rFonts w:ascii="Verdana" w:eastAsia="Times New Roman" w:hAnsi="Verdana" w:cs="Times New Roman"/>
          <w:color w:val="231F20"/>
          <w:sz w:val="18"/>
          <w:szCs w:val="24"/>
          <w:lang w:val="en-US" w:eastAsia="en-AU"/>
        </w:rPr>
      </w:pPr>
      <w:r w:rsidRPr="00DF1238">
        <w:rPr>
          <w:rFonts w:ascii="Verdana" w:eastAsia="Times New Roman" w:hAnsi="Verdana" w:cs="Times New Roman"/>
          <w:color w:val="231F20"/>
          <w:sz w:val="18"/>
          <w:szCs w:val="24"/>
          <w:lang w:val="en-US" w:eastAsia="en-AU"/>
        </w:rPr>
        <w:t xml:space="preserve">The geographical range and average rainfall for each rainfall band </w:t>
      </w:r>
    </w:p>
    <w:p w:rsidR="00DF1238" w:rsidRPr="00DF1238" w:rsidRDefault="00DF1238" w:rsidP="00DF1238">
      <w:pPr>
        <w:numPr>
          <w:ilvl w:val="0"/>
          <w:numId w:val="5"/>
        </w:numPr>
        <w:tabs>
          <w:tab w:val="left" w:pos="2268"/>
          <w:tab w:val="left" w:pos="4536"/>
          <w:tab w:val="left" w:pos="6804"/>
          <w:tab w:val="right" w:pos="9638"/>
        </w:tabs>
        <w:spacing w:before="120" w:after="200" w:line="320" w:lineRule="atLeast"/>
        <w:rPr>
          <w:rFonts w:ascii="Verdana" w:eastAsia="Times New Roman" w:hAnsi="Verdana" w:cs="Times New Roman"/>
          <w:color w:val="231F20"/>
          <w:sz w:val="18"/>
          <w:szCs w:val="24"/>
          <w:lang w:val="en-US" w:eastAsia="en-AU"/>
        </w:rPr>
      </w:pPr>
      <w:r w:rsidRPr="00DF1238">
        <w:rPr>
          <w:rFonts w:ascii="Verdana" w:eastAsia="Times New Roman" w:hAnsi="Verdana" w:cs="Times New Roman"/>
          <w:color w:val="231F20"/>
          <w:sz w:val="18"/>
          <w:szCs w:val="24"/>
          <w:lang w:val="en-US" w:eastAsia="en-AU"/>
        </w:rPr>
        <w:t>The runoff per year for 1 Ha of impervious surface based on the specified average rainfall</w:t>
      </w:r>
    </w:p>
    <w:p w:rsidR="00DF1238" w:rsidRPr="00DF1238" w:rsidRDefault="00DF1238" w:rsidP="00DF1238">
      <w:pPr>
        <w:numPr>
          <w:ilvl w:val="0"/>
          <w:numId w:val="5"/>
        </w:numPr>
        <w:tabs>
          <w:tab w:val="left" w:pos="2268"/>
          <w:tab w:val="left" w:pos="4536"/>
          <w:tab w:val="left" w:pos="6804"/>
          <w:tab w:val="right" w:pos="9638"/>
        </w:tabs>
        <w:spacing w:before="120" w:after="200" w:line="320" w:lineRule="atLeast"/>
        <w:rPr>
          <w:rFonts w:ascii="Verdana" w:eastAsia="Times New Roman" w:hAnsi="Verdana" w:cs="Times New Roman"/>
          <w:color w:val="231F20"/>
          <w:sz w:val="18"/>
          <w:szCs w:val="24"/>
          <w:lang w:val="en-US" w:eastAsia="en-AU"/>
        </w:rPr>
      </w:pPr>
      <w:r w:rsidRPr="00DF1238">
        <w:rPr>
          <w:rFonts w:ascii="Verdana" w:eastAsia="Times New Roman" w:hAnsi="Verdana" w:cs="Times New Roman"/>
          <w:color w:val="231F20"/>
          <w:sz w:val="18"/>
          <w:szCs w:val="24"/>
          <w:lang w:val="en-US" w:eastAsia="en-AU"/>
        </w:rPr>
        <w:t>Harvesting and infiltration targets within that band both in terms of ML/Ha of impervious surface and percentage of impervious runoff harvested and infiltrated.</w:t>
      </w:r>
    </w:p>
    <w:p w:rsidR="00DF1238" w:rsidRPr="00DF1238" w:rsidRDefault="00DF1238" w:rsidP="00DF1238">
      <w:pPr>
        <w:spacing w:after="240" w:line="320" w:lineRule="atLeast"/>
        <w:rPr>
          <w:rFonts w:ascii="Verdana" w:eastAsia="Times New Roman" w:hAnsi="Verdana" w:cs="Times New Roman"/>
          <w:color w:val="231F20"/>
          <w:sz w:val="18"/>
          <w:szCs w:val="18"/>
          <w:lang w:val="en-US" w:eastAsia="en-AU"/>
        </w:rPr>
      </w:pPr>
      <w:r w:rsidRPr="00DF1238">
        <w:rPr>
          <w:rFonts w:ascii="Verdana" w:eastAsia="Times New Roman" w:hAnsi="Verdana" w:cs="Times New Roman"/>
          <w:color w:val="231F20"/>
          <w:sz w:val="18"/>
          <w:szCs w:val="24"/>
          <w:lang w:val="en-US" w:eastAsia="en-AU"/>
        </w:rPr>
        <w:t xml:space="preserve">The appropriate MUSIC model can then be used to identify and model harvesting and infiltration measures to meet the targets for that location. </w:t>
      </w:r>
      <w:hyperlink r:id="rId17" w:history="1">
        <w:r w:rsidRPr="00DF1238">
          <w:rPr>
            <w:rFonts w:ascii="Verdana" w:eastAsia="Times New Roman" w:hAnsi="Verdana" w:cs="Times New Roman"/>
            <w:color w:val="00428B"/>
            <w:sz w:val="18"/>
            <w:szCs w:val="24"/>
            <w:u w:val="single"/>
            <w:lang w:eastAsia="en-AU"/>
          </w:rPr>
          <w:t>MUSIC Guidelines</w:t>
        </w:r>
      </w:hyperlink>
      <w:r w:rsidRPr="00DF1238">
        <w:rPr>
          <w:rFonts w:ascii="Verdana" w:eastAsia="Times New Roman" w:hAnsi="Verdana" w:cs="Times New Roman"/>
          <w:color w:val="231F20"/>
          <w:sz w:val="18"/>
          <w:szCs w:val="24"/>
          <w:lang w:val="en-US" w:eastAsia="en-AU"/>
        </w:rPr>
        <w:t xml:space="preserve"> can provide further technical guidance for practitioners. While</w:t>
      </w:r>
      <w:r w:rsidRPr="00DF1238">
        <w:rPr>
          <w:rFonts w:ascii="Verdana" w:eastAsia="Times New Roman" w:hAnsi="Verdana" w:cs="Times New Roman"/>
          <w:color w:val="231F20"/>
          <w:sz w:val="18"/>
          <w:szCs w:val="18"/>
          <w:lang w:val="en-US" w:eastAsia="en-AU"/>
        </w:rPr>
        <w:t xml:space="preserve"> </w:t>
      </w:r>
      <w:hyperlink r:id="rId18" w:history="1">
        <w:r w:rsidRPr="00DF1238">
          <w:rPr>
            <w:rFonts w:ascii="Verdana" w:eastAsia="Times New Roman" w:hAnsi="Verdana" w:cs="Times New Roman"/>
            <w:color w:val="00428B"/>
            <w:sz w:val="18"/>
            <w:szCs w:val="18"/>
            <w:u w:val="single"/>
            <w:lang w:eastAsia="en-AU"/>
          </w:rPr>
          <w:t>Storm</w:t>
        </w:r>
      </w:hyperlink>
      <w:r w:rsidRPr="00DF1238">
        <w:rPr>
          <w:rFonts w:ascii="Verdana" w:eastAsia="Times New Roman" w:hAnsi="Verdana" w:cs="Times New Roman"/>
          <w:color w:val="231F20"/>
          <w:sz w:val="18"/>
          <w:szCs w:val="18"/>
          <w:lang w:val="en-US" w:eastAsia="en-AU"/>
        </w:rPr>
        <w:t xml:space="preserve"> </w:t>
      </w:r>
      <w:r w:rsidRPr="00DF1238">
        <w:rPr>
          <w:rFonts w:ascii="Verdana" w:eastAsia="Times New Roman" w:hAnsi="Verdana" w:cs="Times New Roman"/>
          <w:color w:val="231F20"/>
          <w:sz w:val="18"/>
          <w:szCs w:val="24"/>
          <w:lang w:eastAsia="en-AU"/>
        </w:rPr>
        <w:t xml:space="preserve">is used in some circumstances to quantify </w:t>
      </w:r>
      <w:r w:rsidRPr="00DF1238">
        <w:rPr>
          <w:rFonts w:ascii="Verdana" w:eastAsia="Times New Roman" w:hAnsi="Verdana" w:cs="Times New Roman"/>
          <w:i/>
          <w:iCs/>
          <w:color w:val="231F20"/>
          <w:sz w:val="18"/>
          <w:szCs w:val="24"/>
          <w:lang w:eastAsia="en-AU"/>
        </w:rPr>
        <w:t>pollutant</w:t>
      </w:r>
      <w:r w:rsidRPr="00DF1238">
        <w:rPr>
          <w:rFonts w:ascii="Verdana" w:eastAsia="Times New Roman" w:hAnsi="Verdana" w:cs="Times New Roman"/>
          <w:color w:val="231F20"/>
          <w:sz w:val="18"/>
          <w:szCs w:val="24"/>
          <w:lang w:eastAsia="en-AU"/>
        </w:rPr>
        <w:t xml:space="preserve"> load reductions as per the </w:t>
      </w:r>
      <w:r w:rsidRPr="00DF1238">
        <w:rPr>
          <w:rFonts w:ascii="Verdana" w:eastAsia="Times New Roman" w:hAnsi="Verdana" w:cs="Times New Roman"/>
          <w:i/>
          <w:color w:val="231F20"/>
          <w:sz w:val="18"/>
          <w:szCs w:val="24"/>
          <w:lang w:eastAsia="en-AU"/>
        </w:rPr>
        <w:t>Best Practice Environmental Management (BPEM)</w:t>
      </w:r>
      <w:r w:rsidRPr="00DF1238">
        <w:rPr>
          <w:rFonts w:ascii="Verdana" w:eastAsia="Times New Roman" w:hAnsi="Verdana" w:cs="Times New Roman"/>
          <w:color w:val="231F20"/>
          <w:sz w:val="18"/>
          <w:szCs w:val="24"/>
          <w:lang w:eastAsia="en-AU"/>
        </w:rPr>
        <w:t xml:space="preserve"> and </w:t>
      </w:r>
      <w:r w:rsidRPr="00DF1238">
        <w:rPr>
          <w:rFonts w:ascii="Verdana" w:eastAsia="Times New Roman" w:hAnsi="Verdana" w:cs="Times New Roman"/>
          <w:i/>
          <w:color w:val="231F20"/>
          <w:sz w:val="18"/>
          <w:szCs w:val="24"/>
          <w:lang w:eastAsia="en-AU"/>
        </w:rPr>
        <w:t>Urban stormwater management guidance</w:t>
      </w:r>
      <w:r w:rsidRPr="00DF1238">
        <w:rPr>
          <w:rFonts w:ascii="Verdana" w:eastAsia="Times New Roman" w:hAnsi="Verdana" w:cs="Times New Roman"/>
          <w:color w:val="231F20"/>
          <w:sz w:val="18"/>
          <w:szCs w:val="24"/>
          <w:lang w:eastAsia="en-AU"/>
        </w:rPr>
        <w:t>, MUSIC is considered the most appropriate tool for this practitioners note.</w:t>
      </w:r>
      <w:r w:rsidRPr="00DF1238">
        <w:rPr>
          <w:rFonts w:ascii="Calibri Light" w:eastAsia="Times New Roman" w:hAnsi="Calibri Light" w:cs="Calibri Light"/>
          <w:color w:val="231F20"/>
          <w:sz w:val="12"/>
          <w:szCs w:val="18"/>
          <w:lang w:val="en-US" w:eastAsia="en-AU"/>
        </w:rPr>
        <w:t xml:space="preserve">  </w:t>
      </w:r>
    </w:p>
    <w:p w:rsidR="00DF1238" w:rsidRPr="00DF1238" w:rsidRDefault="00DF1238" w:rsidP="00DF1238">
      <w:pPr>
        <w:spacing w:after="240" w:line="320" w:lineRule="atLeast"/>
        <w:rPr>
          <w:rFonts w:ascii="Verdana" w:eastAsia="Times New Roman" w:hAnsi="Verdana" w:cs="Times New Roman"/>
          <w:color w:val="231F20"/>
          <w:sz w:val="18"/>
          <w:szCs w:val="24"/>
          <w:lang w:val="en-US" w:eastAsia="en-AU"/>
        </w:rPr>
      </w:pPr>
      <w:r w:rsidRPr="00DF1238">
        <w:rPr>
          <w:rFonts w:ascii="Verdana" w:eastAsia="Times New Roman" w:hAnsi="Verdana" w:cs="Times New Roman"/>
          <w:color w:val="231F20"/>
          <w:sz w:val="18"/>
          <w:szCs w:val="24"/>
          <w:lang w:val="en-US" w:eastAsia="en-AU"/>
        </w:rPr>
        <w:t xml:space="preserve">Note that practitioners should refer to the Figure 1 curves to ensure they are not exceeding the maximum amounts for harvesting and infiltration. This avoids any negative impact from over-harvesting or over-infiltration. </w:t>
      </w:r>
    </w:p>
    <w:p w:rsidR="00DF1238" w:rsidRPr="00DF1238" w:rsidRDefault="00DF1238" w:rsidP="00DF1238">
      <w:pPr>
        <w:spacing w:after="240" w:line="320" w:lineRule="atLeast"/>
        <w:rPr>
          <w:rFonts w:ascii="Verdana" w:eastAsia="Times New Roman" w:hAnsi="Verdana" w:cs="Times New Roman"/>
          <w:color w:val="231F20"/>
          <w:sz w:val="18"/>
          <w:szCs w:val="18"/>
          <w:lang w:val="en-US" w:eastAsia="en-AU"/>
        </w:rPr>
      </w:pPr>
    </w:p>
    <w:p w:rsidR="00DF1238" w:rsidRPr="00DF1238" w:rsidRDefault="00DF1238" w:rsidP="00DF1238">
      <w:pPr>
        <w:spacing w:after="240" w:line="320" w:lineRule="atLeast"/>
        <w:jc w:val="center"/>
        <w:rPr>
          <w:rFonts w:ascii="Verdana" w:eastAsia="Verdana" w:hAnsi="Verdana" w:cs="Times New Roman"/>
          <w:i/>
          <w:iCs/>
          <w:color w:val="00428B"/>
          <w:sz w:val="16"/>
          <w:szCs w:val="24"/>
          <w:lang w:eastAsia="fr-CA"/>
        </w:rPr>
      </w:pPr>
    </w:p>
    <w:p w:rsidR="00DF1238" w:rsidRPr="00DF1238" w:rsidRDefault="00DF1238" w:rsidP="00DF1238">
      <w:pPr>
        <w:spacing w:after="240" w:line="320" w:lineRule="atLeast"/>
        <w:jc w:val="center"/>
        <w:rPr>
          <w:rFonts w:ascii="Verdana" w:eastAsia="Verdana" w:hAnsi="Verdana" w:cs="Times New Roman"/>
          <w:i/>
          <w:iCs/>
          <w:color w:val="00428B"/>
          <w:sz w:val="16"/>
          <w:szCs w:val="24"/>
          <w:lang w:eastAsia="fr-CA"/>
        </w:rPr>
      </w:pPr>
    </w:p>
    <w:p w:rsidR="00DF1238" w:rsidRPr="00DF1238" w:rsidRDefault="00DF1238" w:rsidP="00DF1238">
      <w:pPr>
        <w:spacing w:after="240" w:line="320" w:lineRule="atLeast"/>
        <w:jc w:val="center"/>
        <w:rPr>
          <w:rFonts w:ascii="Verdana" w:eastAsia="Verdana" w:hAnsi="Verdana" w:cs="Times New Roman"/>
          <w:i/>
          <w:iCs/>
          <w:color w:val="00428B"/>
          <w:sz w:val="16"/>
          <w:szCs w:val="24"/>
          <w:lang w:eastAsia="fr-CA"/>
        </w:rPr>
      </w:pPr>
      <w:r w:rsidRPr="00DF1238">
        <w:rPr>
          <w:rFonts w:ascii="Verdana" w:eastAsia="Times New Roman" w:hAnsi="Verdana" w:cs="Times New Roman"/>
          <w:noProof/>
          <w:color w:val="231F20"/>
          <w:sz w:val="18"/>
          <w:szCs w:val="24"/>
          <w:lang w:eastAsia="en-AU"/>
        </w:rPr>
        <w:lastRenderedPageBreak/>
        <w:drawing>
          <wp:inline distT="0" distB="0" distL="0" distR="0" wp14:anchorId="18F8ABB0" wp14:editId="16DF460C">
            <wp:extent cx="5461666" cy="5057655"/>
            <wp:effectExtent l="0" t="0" r="5715" b="0"/>
            <wp:docPr id="15" name="Graphic 5" title="Map diagram showing MUSIC rainfall templates and Healthy Waterways Strategy stormwater priority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 uri="{96DAC541-7B7A-43D3-8B79-37D633B846F1}">
                          <asvg:svgBlip xmlns:arto="http://schemas.microsoft.com/office/word/2006/arto"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6"/>
                        </a:ext>
                      </a:extLst>
                    </a:blip>
                    <a:srcRect t="11776"/>
                    <a:stretch/>
                  </pic:blipFill>
                  <pic:spPr bwMode="auto">
                    <a:xfrm>
                      <a:off x="0" y="0"/>
                      <a:ext cx="5461666" cy="5057655"/>
                    </a:xfrm>
                    <a:prstGeom prst="rect">
                      <a:avLst/>
                    </a:prstGeom>
                    <a:ln>
                      <a:noFill/>
                    </a:ln>
                    <a:extLst>
                      <a:ext uri="{53640926-AAD7-44D8-BBD7-CCE9431645EC}">
                        <a14:shadowObscured xmlns:a14="http://schemas.microsoft.com/office/drawing/2010/main"/>
                      </a:ext>
                    </a:extLst>
                  </pic:spPr>
                </pic:pic>
              </a:graphicData>
            </a:graphic>
          </wp:inline>
        </w:drawing>
      </w:r>
    </w:p>
    <w:p w:rsidR="00DF1238" w:rsidRPr="00DF1238" w:rsidRDefault="00A442AC" w:rsidP="00DF1238">
      <w:pPr>
        <w:spacing w:after="240" w:line="320" w:lineRule="atLeast"/>
        <w:jc w:val="center"/>
        <w:rPr>
          <w:rFonts w:ascii="Verdana" w:eastAsia="Verdana" w:hAnsi="Verdana" w:cs="Times New Roman"/>
          <w:i/>
          <w:iCs/>
          <w:color w:val="00428B"/>
          <w:sz w:val="16"/>
          <w:szCs w:val="24"/>
          <w:lang w:eastAsia="fr-CA"/>
        </w:rPr>
      </w:pPr>
      <w:r w:rsidRPr="00DF1238">
        <w:rPr>
          <w:rFonts w:ascii="Verdana" w:eastAsia="Verdana" w:hAnsi="Verdana" w:cs="Times New Roman"/>
          <w:i/>
          <w:iCs/>
          <w:noProof/>
          <w:color w:val="00428B"/>
          <w:sz w:val="16"/>
          <w:szCs w:val="24"/>
          <w:lang w:eastAsia="en-AU"/>
        </w:rPr>
        <w:drawing>
          <wp:inline distT="0" distB="0" distL="0" distR="0" wp14:anchorId="2AFFED9A" wp14:editId="374AF301">
            <wp:extent cx="6120130" cy="1521779"/>
            <wp:effectExtent l="0" t="0" r="0" b="2540"/>
            <wp:docPr id="13" name="Picture 5" title="Table showing MUSIC templates and corresponding harvesting and infiltration targets in stormwater priority and other areas in Metropolitan Melbou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120130" cy="1521779"/>
                    </a:xfrm>
                    <a:prstGeom prst="rect">
                      <a:avLst/>
                    </a:prstGeom>
                  </pic:spPr>
                </pic:pic>
              </a:graphicData>
            </a:graphic>
          </wp:inline>
        </w:drawing>
      </w:r>
      <w:r w:rsidR="00DF1238" w:rsidRPr="00DF1238">
        <w:rPr>
          <w:rFonts w:ascii="Verdana" w:eastAsia="Verdana" w:hAnsi="Verdana" w:cs="Times New Roman"/>
          <w:i/>
          <w:iCs/>
          <w:color w:val="00428B"/>
          <w:sz w:val="16"/>
          <w:szCs w:val="24"/>
          <w:lang w:eastAsia="fr-CA"/>
        </w:rPr>
        <w:t xml:space="preserve">Figure </w:t>
      </w:r>
      <w:r w:rsidR="00DF1238" w:rsidRPr="00DF1238">
        <w:rPr>
          <w:rFonts w:ascii="Verdana" w:eastAsia="Verdana" w:hAnsi="Verdana" w:cs="Times New Roman"/>
          <w:i/>
          <w:iCs/>
          <w:color w:val="00428B"/>
          <w:sz w:val="16"/>
          <w:szCs w:val="24"/>
          <w:shd w:val="clear" w:color="auto" w:fill="E6E6E6"/>
          <w:lang w:eastAsia="fr-CA"/>
        </w:rPr>
        <w:fldChar w:fldCharType="begin"/>
      </w:r>
      <w:r w:rsidR="00DF1238" w:rsidRPr="00DF1238">
        <w:rPr>
          <w:rFonts w:ascii="Verdana" w:eastAsia="Verdana" w:hAnsi="Verdana" w:cs="Times New Roman"/>
          <w:i/>
          <w:iCs/>
          <w:color w:val="00428B"/>
          <w:sz w:val="16"/>
          <w:szCs w:val="24"/>
          <w:lang w:eastAsia="fr-CA"/>
        </w:rPr>
        <w:instrText xml:space="preserve"> SEQ Figure \* ARABIC </w:instrText>
      </w:r>
      <w:r w:rsidR="00DF1238" w:rsidRPr="00DF1238">
        <w:rPr>
          <w:rFonts w:ascii="Verdana" w:eastAsia="Verdana" w:hAnsi="Verdana" w:cs="Times New Roman"/>
          <w:i/>
          <w:iCs/>
          <w:color w:val="00428B"/>
          <w:sz w:val="16"/>
          <w:szCs w:val="24"/>
          <w:shd w:val="clear" w:color="auto" w:fill="E6E6E6"/>
          <w:lang w:eastAsia="fr-CA"/>
        </w:rPr>
        <w:fldChar w:fldCharType="separate"/>
      </w:r>
      <w:r w:rsidR="00DF1238" w:rsidRPr="00DF1238">
        <w:rPr>
          <w:rFonts w:ascii="Verdana" w:eastAsia="Verdana" w:hAnsi="Verdana" w:cs="Times New Roman"/>
          <w:i/>
          <w:iCs/>
          <w:noProof/>
          <w:color w:val="00428B"/>
          <w:sz w:val="16"/>
          <w:szCs w:val="24"/>
          <w:lang w:eastAsia="fr-CA"/>
        </w:rPr>
        <w:t>3</w:t>
      </w:r>
      <w:r w:rsidR="00DF1238" w:rsidRPr="00DF1238">
        <w:rPr>
          <w:rFonts w:ascii="Verdana" w:eastAsia="Verdana" w:hAnsi="Verdana" w:cs="Times New Roman"/>
          <w:i/>
          <w:iCs/>
          <w:color w:val="00428B"/>
          <w:sz w:val="16"/>
          <w:szCs w:val="24"/>
          <w:shd w:val="clear" w:color="auto" w:fill="E6E6E6"/>
          <w:lang w:eastAsia="fr-CA"/>
        </w:rPr>
        <w:fldChar w:fldCharType="end"/>
      </w:r>
      <w:r w:rsidR="00DF1238" w:rsidRPr="00DF1238">
        <w:rPr>
          <w:rFonts w:ascii="Verdana" w:eastAsia="Verdana" w:hAnsi="Verdana" w:cs="Times New Roman"/>
          <w:i/>
          <w:iCs/>
          <w:color w:val="00428B"/>
          <w:sz w:val="16"/>
          <w:szCs w:val="24"/>
          <w:lang w:eastAsia="fr-CA"/>
        </w:rPr>
        <w:t>. MUSIC templates location, annual rainfall, and the urban growth boundary for Metropolitan Melbourne</w:t>
      </w:r>
      <w:r w:rsidR="00DF1238" w:rsidRPr="00DF1238">
        <w:rPr>
          <w:rFonts w:ascii="Verdana" w:eastAsia="Verdana" w:hAnsi="Verdana" w:cs="Times New Roman"/>
          <w:i/>
          <w:iCs/>
          <w:color w:val="00428B"/>
          <w:sz w:val="16"/>
          <w:szCs w:val="24"/>
          <w:vertAlign w:val="superscript"/>
          <w:lang w:eastAsia="fr-CA"/>
        </w:rPr>
        <w:footnoteReference w:id="1"/>
      </w:r>
      <w:r w:rsidR="00DF1238" w:rsidRPr="00DF1238">
        <w:rPr>
          <w:rFonts w:ascii="Verdana" w:eastAsia="Verdana" w:hAnsi="Verdana" w:cs="Times New Roman"/>
          <w:i/>
          <w:iCs/>
          <w:color w:val="00428B"/>
          <w:sz w:val="16"/>
          <w:szCs w:val="24"/>
          <w:shd w:val="clear" w:color="auto" w:fill="E6E6E6"/>
          <w:vertAlign w:val="superscript"/>
          <w:lang w:eastAsia="fr-CA"/>
        </w:rPr>
        <w:footnoteReference w:id="2"/>
      </w:r>
      <w:r w:rsidR="00DF1238" w:rsidRPr="00DF1238">
        <w:rPr>
          <w:rFonts w:ascii="Verdana" w:eastAsia="Verdana" w:hAnsi="Verdana" w:cs="Times New Roman"/>
          <w:i/>
          <w:iCs/>
          <w:color w:val="00428B"/>
          <w:sz w:val="16"/>
          <w:szCs w:val="24"/>
          <w:shd w:val="clear" w:color="auto" w:fill="E6E6E6"/>
          <w:vertAlign w:val="superscript"/>
          <w:lang w:eastAsia="fr-CA"/>
        </w:rPr>
        <w:t>,</w:t>
      </w:r>
      <w:r w:rsidR="00DF1238" w:rsidRPr="00DF1238">
        <w:rPr>
          <w:rFonts w:ascii="Verdana" w:eastAsia="Verdana" w:hAnsi="Verdana" w:cs="Times New Roman"/>
          <w:i/>
          <w:iCs/>
          <w:color w:val="00428B"/>
          <w:sz w:val="16"/>
          <w:szCs w:val="24"/>
          <w:shd w:val="clear" w:color="auto" w:fill="E6E6E6"/>
          <w:vertAlign w:val="superscript"/>
          <w:lang w:eastAsia="fr-CA"/>
        </w:rPr>
        <w:footnoteReference w:id="3"/>
      </w:r>
      <w:r w:rsidR="00DF1238" w:rsidRPr="00DF1238">
        <w:rPr>
          <w:rFonts w:ascii="Verdana" w:eastAsia="Verdana" w:hAnsi="Verdana" w:cs="Times New Roman"/>
          <w:i/>
          <w:iCs/>
          <w:color w:val="00428B"/>
          <w:sz w:val="16"/>
          <w:szCs w:val="24"/>
          <w:shd w:val="clear" w:color="auto" w:fill="E6E6E6"/>
          <w:vertAlign w:val="superscript"/>
          <w:lang w:eastAsia="fr-CA"/>
        </w:rPr>
        <w:t>,</w:t>
      </w:r>
      <w:r w:rsidR="00DF1238" w:rsidRPr="00DF1238">
        <w:rPr>
          <w:rFonts w:ascii="Verdana" w:eastAsia="Verdana" w:hAnsi="Verdana" w:cs="Times New Roman"/>
          <w:i/>
          <w:iCs/>
          <w:color w:val="00428B"/>
          <w:sz w:val="16"/>
          <w:szCs w:val="24"/>
          <w:shd w:val="clear" w:color="auto" w:fill="E6E6E6"/>
          <w:vertAlign w:val="superscript"/>
          <w:lang w:eastAsia="fr-CA"/>
        </w:rPr>
        <w:footnoteReference w:id="4"/>
      </w:r>
    </w:p>
    <w:p w:rsidR="00DF1238" w:rsidRPr="00DF1238" w:rsidRDefault="00DF1238" w:rsidP="00DF1238">
      <w:pPr>
        <w:spacing w:after="240" w:line="320" w:lineRule="atLeast"/>
        <w:rPr>
          <w:rFonts w:ascii="Verdana" w:eastAsia="Times New Roman" w:hAnsi="Verdana" w:cs="Times New Roman"/>
          <w:color w:val="231F20"/>
          <w:sz w:val="18"/>
          <w:szCs w:val="24"/>
          <w:lang w:eastAsia="en-AU"/>
        </w:rPr>
        <w:sectPr w:rsidR="00DF1238" w:rsidRPr="00DF1238" w:rsidSect="00E2304F">
          <w:headerReference w:type="default" r:id="rId38"/>
          <w:pgSz w:w="11906" w:h="16838" w:code="9"/>
          <w:pgMar w:top="1134" w:right="1134" w:bottom="1134" w:left="1134" w:header="567" w:footer="567" w:gutter="0"/>
          <w:cols w:space="708"/>
          <w:docGrid w:linePitch="360"/>
        </w:sectPr>
      </w:pPr>
    </w:p>
    <w:p w:rsidR="00DF1238" w:rsidRPr="00DF1238" w:rsidRDefault="00DF1238" w:rsidP="00DF1238">
      <w:pPr>
        <w:keepNext/>
        <w:keepLines/>
        <w:spacing w:before="360" w:after="120" w:line="240" w:lineRule="auto"/>
        <w:outlineLvl w:val="0"/>
        <w:rPr>
          <w:rFonts w:ascii="Verdana" w:eastAsia="MS Mincho" w:hAnsi="Verdana" w:cs="Times New Roman"/>
          <w:b/>
          <w:bCs/>
          <w:color w:val="00428B"/>
          <w:sz w:val="24"/>
          <w:szCs w:val="36"/>
          <w:lang w:val="en-US" w:eastAsia="en-AU"/>
        </w:rPr>
      </w:pPr>
      <w:r w:rsidRPr="00DF1238">
        <w:rPr>
          <w:rFonts w:ascii="Verdana" w:eastAsia="MS Mincho" w:hAnsi="Verdana" w:cs="Times New Roman"/>
          <w:b/>
          <w:bCs/>
          <w:color w:val="00428B"/>
          <w:sz w:val="24"/>
          <w:szCs w:val="36"/>
          <w:lang w:val="en-US" w:eastAsia="en-AU"/>
        </w:rPr>
        <w:lastRenderedPageBreak/>
        <w:t>Achieving the target on the ground</w:t>
      </w:r>
    </w:p>
    <w:p w:rsidR="00DF1238" w:rsidRPr="00DF1238" w:rsidRDefault="00DF1238" w:rsidP="00DF1238">
      <w:pPr>
        <w:spacing w:after="0" w:line="320" w:lineRule="atLeast"/>
        <w:rPr>
          <w:rFonts w:ascii="Verdana" w:eastAsia="Times New Roman" w:hAnsi="Verdana" w:cs="Times New Roman"/>
          <w:color w:val="00428B"/>
          <w:spacing w:val="1"/>
          <w:sz w:val="20"/>
          <w:szCs w:val="26"/>
        </w:rPr>
      </w:pPr>
      <w:r w:rsidRPr="00DF1238">
        <w:rPr>
          <w:rFonts w:ascii="Verdana" w:eastAsia="Times New Roman" w:hAnsi="Verdana" w:cs="Times New Roman"/>
          <w:color w:val="00428B"/>
          <w:spacing w:val="1"/>
          <w:sz w:val="20"/>
          <w:szCs w:val="26"/>
        </w:rPr>
        <w:t>The HWS targets are a response to the community’s desire to restore and protect the condition of Melbourne’s waterways for future generations. Achieving these targets will require contributions from a range of stakeholders working across a range of spatial scales.</w:t>
      </w:r>
    </w:p>
    <w:p w:rsidR="00DF1238" w:rsidRPr="00DF1238" w:rsidRDefault="00DF1238" w:rsidP="00DF1238">
      <w:pPr>
        <w:spacing w:after="0" w:line="320" w:lineRule="atLeast"/>
        <w:rPr>
          <w:rFonts w:ascii="Verdana" w:eastAsia="Times New Roman" w:hAnsi="Verdana" w:cs="Times New Roman"/>
          <w:color w:val="231F20"/>
          <w:sz w:val="18"/>
          <w:szCs w:val="24"/>
          <w:lang w:eastAsia="en-AU"/>
        </w:rPr>
      </w:pPr>
    </w:p>
    <w:p w:rsidR="00DF1238" w:rsidRPr="00DF1238" w:rsidRDefault="00DF1238" w:rsidP="00DF1238">
      <w:pPr>
        <w:spacing w:after="0" w:line="320" w:lineRule="atLeast"/>
        <w:rPr>
          <w:rFonts w:ascii="Verdana" w:eastAsia="Times New Roman" w:hAnsi="Verdana" w:cs="Times New Roman"/>
          <w:color w:val="231F20"/>
          <w:sz w:val="18"/>
          <w:szCs w:val="24"/>
          <w:lang w:val="en-US" w:eastAsia="en-AU"/>
        </w:rPr>
      </w:pPr>
      <w:r w:rsidRPr="00DF1238">
        <w:rPr>
          <w:rFonts w:ascii="Verdana" w:eastAsia="Times New Roman" w:hAnsi="Verdana" w:cs="Times New Roman"/>
          <w:color w:val="231F20"/>
          <w:sz w:val="18"/>
          <w:szCs w:val="24"/>
          <w:lang w:val="en-US" w:eastAsia="en-AU"/>
        </w:rPr>
        <w:t xml:space="preserve">When developing in greenfield areas, stormwater volume reduction initiatives can typically be implemented at three scales </w:t>
      </w:r>
      <w:r w:rsidRPr="00DF1238">
        <w:rPr>
          <w:rFonts w:ascii="Verdana" w:eastAsia="Times New Roman" w:hAnsi="Verdana" w:cs="Times New Roman"/>
          <w:color w:val="231F20"/>
          <w:sz w:val="18"/>
          <w:szCs w:val="24"/>
          <w:lang w:eastAsia="en-AU"/>
        </w:rPr>
        <w:t xml:space="preserve">(see </w:t>
      </w:r>
      <w:r w:rsidRPr="00DF1238">
        <w:rPr>
          <w:rFonts w:ascii="Verdana" w:eastAsia="Times New Roman" w:hAnsi="Verdana" w:cs="Times New Roman"/>
          <w:color w:val="2B579A"/>
          <w:sz w:val="18"/>
          <w:szCs w:val="24"/>
          <w:shd w:val="clear" w:color="auto" w:fill="E6E6E6"/>
          <w:lang w:eastAsia="en-AU"/>
        </w:rPr>
        <w:fldChar w:fldCharType="begin"/>
      </w:r>
      <w:r w:rsidRPr="00DF1238">
        <w:rPr>
          <w:rFonts w:ascii="Verdana" w:eastAsia="Times New Roman" w:hAnsi="Verdana" w:cs="Times New Roman"/>
          <w:color w:val="231F20"/>
          <w:sz w:val="18"/>
          <w:szCs w:val="24"/>
          <w:lang w:eastAsia="en-AU"/>
        </w:rPr>
        <w:instrText xml:space="preserve"> REF _Ref68703505 \h  \* MERGEFORMAT </w:instrText>
      </w:r>
      <w:r w:rsidRPr="00DF1238">
        <w:rPr>
          <w:rFonts w:ascii="Verdana" w:eastAsia="Times New Roman" w:hAnsi="Verdana" w:cs="Times New Roman"/>
          <w:color w:val="2B579A"/>
          <w:sz w:val="18"/>
          <w:szCs w:val="24"/>
          <w:shd w:val="clear" w:color="auto" w:fill="E6E6E6"/>
          <w:lang w:eastAsia="en-AU"/>
        </w:rPr>
      </w:r>
      <w:r w:rsidRPr="00DF1238">
        <w:rPr>
          <w:rFonts w:ascii="Verdana" w:eastAsia="Times New Roman" w:hAnsi="Verdana" w:cs="Times New Roman"/>
          <w:color w:val="2B579A"/>
          <w:sz w:val="18"/>
          <w:szCs w:val="24"/>
          <w:shd w:val="clear" w:color="auto" w:fill="E6E6E6"/>
          <w:lang w:eastAsia="en-AU"/>
        </w:rPr>
        <w:fldChar w:fldCharType="separate"/>
      </w:r>
      <w:r w:rsidRPr="00DF1238">
        <w:rPr>
          <w:rFonts w:ascii="Verdana" w:eastAsia="Times New Roman" w:hAnsi="Verdana" w:cs="Times New Roman"/>
          <w:color w:val="231F20"/>
          <w:sz w:val="18"/>
          <w:szCs w:val="24"/>
          <w:lang w:eastAsia="en-AU"/>
        </w:rPr>
        <w:t>Figure 4</w:t>
      </w:r>
      <w:r w:rsidRPr="00DF1238">
        <w:rPr>
          <w:rFonts w:ascii="Verdana" w:eastAsia="Times New Roman" w:hAnsi="Verdana" w:cs="Times New Roman"/>
          <w:color w:val="2B579A"/>
          <w:sz w:val="18"/>
          <w:szCs w:val="24"/>
          <w:shd w:val="clear" w:color="auto" w:fill="E6E6E6"/>
          <w:lang w:eastAsia="en-AU"/>
        </w:rPr>
        <w:fldChar w:fldCharType="end"/>
      </w:r>
      <w:r w:rsidRPr="00DF1238">
        <w:rPr>
          <w:rFonts w:ascii="Verdana" w:eastAsia="Times New Roman" w:hAnsi="Verdana" w:cs="Times New Roman"/>
          <w:color w:val="231F20"/>
          <w:sz w:val="18"/>
          <w:szCs w:val="24"/>
          <w:lang w:eastAsia="en-AU"/>
        </w:rPr>
        <w:t>)</w:t>
      </w:r>
      <w:r w:rsidRPr="00DF1238">
        <w:rPr>
          <w:rFonts w:ascii="Verdana" w:eastAsia="Times New Roman" w:hAnsi="Verdana" w:cs="Times New Roman"/>
          <w:color w:val="231F20"/>
          <w:sz w:val="18"/>
          <w:szCs w:val="24"/>
          <w:lang w:val="en-US" w:eastAsia="en-AU"/>
        </w:rPr>
        <w:t>:</w:t>
      </w:r>
    </w:p>
    <w:p w:rsidR="00DF1238" w:rsidRPr="00DF1238" w:rsidRDefault="00DF1238" w:rsidP="00DF1238">
      <w:pPr>
        <w:numPr>
          <w:ilvl w:val="0"/>
          <w:numId w:val="3"/>
        </w:numPr>
        <w:spacing w:before="120" w:after="100" w:afterAutospacing="1" w:line="320" w:lineRule="atLeast"/>
        <w:contextualSpacing/>
        <w:rPr>
          <w:rFonts w:ascii="Verdana" w:eastAsia="Times New Roman" w:hAnsi="Verdana" w:cs="Times New Roman"/>
          <w:color w:val="231F20"/>
          <w:sz w:val="18"/>
          <w:szCs w:val="24"/>
          <w:lang w:eastAsia="en-AU"/>
        </w:rPr>
      </w:pPr>
      <w:r w:rsidRPr="00DF1238">
        <w:rPr>
          <w:rFonts w:ascii="Verdana" w:eastAsia="Times New Roman" w:hAnsi="Verdana" w:cs="Times New Roman"/>
          <w:color w:val="231F20"/>
          <w:sz w:val="18"/>
          <w:szCs w:val="24"/>
          <w:lang w:eastAsia="en-AU"/>
        </w:rPr>
        <w:t xml:space="preserve">The allotment, street or development scale </w:t>
      </w:r>
    </w:p>
    <w:p w:rsidR="00DF1238" w:rsidRPr="00DF1238" w:rsidRDefault="00DF1238" w:rsidP="00DF1238">
      <w:pPr>
        <w:numPr>
          <w:ilvl w:val="0"/>
          <w:numId w:val="3"/>
        </w:numPr>
        <w:spacing w:before="120" w:after="100" w:afterAutospacing="1" w:line="320" w:lineRule="atLeast"/>
        <w:contextualSpacing/>
        <w:rPr>
          <w:rFonts w:ascii="Verdana" w:eastAsia="Times New Roman" w:hAnsi="Verdana" w:cs="Times New Roman"/>
          <w:color w:val="231F20"/>
          <w:sz w:val="18"/>
          <w:szCs w:val="24"/>
          <w:lang w:eastAsia="en-AU"/>
        </w:rPr>
      </w:pPr>
      <w:r w:rsidRPr="00DF1238">
        <w:rPr>
          <w:rFonts w:ascii="Verdana" w:eastAsia="Times New Roman" w:hAnsi="Verdana" w:cs="Times New Roman"/>
          <w:color w:val="231F20"/>
          <w:sz w:val="18"/>
          <w:szCs w:val="24"/>
          <w:lang w:eastAsia="en-AU"/>
        </w:rPr>
        <w:t xml:space="preserve">The precinct scale </w:t>
      </w:r>
    </w:p>
    <w:p w:rsidR="00DF1238" w:rsidRPr="00DF1238" w:rsidRDefault="00DF1238" w:rsidP="00DF1238">
      <w:pPr>
        <w:numPr>
          <w:ilvl w:val="0"/>
          <w:numId w:val="3"/>
        </w:numPr>
        <w:spacing w:before="120" w:after="100" w:afterAutospacing="1" w:line="320" w:lineRule="atLeast"/>
        <w:contextualSpacing/>
        <w:rPr>
          <w:rFonts w:ascii="Verdana" w:eastAsia="Times New Roman" w:hAnsi="Verdana" w:cs="Times New Roman"/>
          <w:color w:val="231F20"/>
          <w:sz w:val="18"/>
          <w:szCs w:val="24"/>
          <w:lang w:eastAsia="en-AU"/>
        </w:rPr>
      </w:pPr>
      <w:r w:rsidRPr="00DF1238">
        <w:rPr>
          <w:rFonts w:ascii="Verdana" w:eastAsia="Times New Roman" w:hAnsi="Verdana" w:cs="Times New Roman"/>
          <w:color w:val="231F20"/>
          <w:sz w:val="18"/>
          <w:szCs w:val="24"/>
          <w:lang w:eastAsia="en-AU"/>
        </w:rPr>
        <w:t>The regional or catchment scale.</w:t>
      </w:r>
    </w:p>
    <w:p w:rsidR="00DF1238" w:rsidRPr="00DF1238" w:rsidRDefault="00DF1238" w:rsidP="00DF1238">
      <w:pPr>
        <w:spacing w:after="0" w:line="320" w:lineRule="atLeast"/>
        <w:rPr>
          <w:rFonts w:ascii="Verdana" w:eastAsia="Times New Roman" w:hAnsi="Verdana" w:cs="Times New Roman"/>
          <w:color w:val="231F20"/>
          <w:sz w:val="18"/>
          <w:szCs w:val="24"/>
          <w:lang w:val="en-US" w:eastAsia="en-AU"/>
        </w:rPr>
      </w:pPr>
      <w:r w:rsidRPr="00DF1238">
        <w:rPr>
          <w:rFonts w:ascii="Verdana" w:eastAsia="Times New Roman" w:hAnsi="Verdana" w:cs="Times New Roman"/>
          <w:noProof/>
          <w:color w:val="231F20"/>
          <w:sz w:val="18"/>
          <w:szCs w:val="24"/>
          <w:lang w:eastAsia="en-AU"/>
        </w:rPr>
        <w:drawing>
          <wp:inline distT="0" distB="0" distL="0" distR="0" wp14:anchorId="0E8EFC4D" wp14:editId="1E71C375">
            <wp:extent cx="4172674" cy="1601011"/>
            <wp:effectExtent l="0" t="0" r="0" b="0"/>
            <wp:docPr id="16" name="Picture 16" title="Conceptual diagram showing 3 differentspatial scales for stormwater harvesting and infil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rotWithShape="1">
                    <a:blip r:embed="rId39">
                      <a:extLst>
                        <a:ext uri="{28A0092B-C50C-407E-A947-70E740481C1C}">
                          <a14:useLocalDpi xmlns:a14="http://schemas.microsoft.com/office/drawing/2010/main" val="0"/>
                        </a:ext>
                      </a:extLst>
                    </a:blip>
                    <a:srcRect l="5396" t="43653" r="9151" b="33648"/>
                    <a:stretch/>
                  </pic:blipFill>
                  <pic:spPr bwMode="auto">
                    <a:xfrm>
                      <a:off x="0" y="0"/>
                      <a:ext cx="4192872" cy="1608761"/>
                    </a:xfrm>
                    <a:prstGeom prst="rect">
                      <a:avLst/>
                    </a:prstGeom>
                    <a:ln>
                      <a:noFill/>
                    </a:ln>
                    <a:extLst>
                      <a:ext uri="{53640926-AAD7-44D8-BBD7-CCE9431645EC}">
                        <a14:shadowObscured xmlns:a14="http://schemas.microsoft.com/office/drawing/2010/main"/>
                      </a:ext>
                    </a:extLst>
                  </pic:spPr>
                </pic:pic>
              </a:graphicData>
            </a:graphic>
          </wp:inline>
        </w:drawing>
      </w:r>
    </w:p>
    <w:p w:rsidR="00DF1238" w:rsidRPr="00DF1238" w:rsidRDefault="00DF1238" w:rsidP="00DF1238">
      <w:pPr>
        <w:keepNext/>
        <w:keepLines/>
        <w:tabs>
          <w:tab w:val="left" w:pos="1134"/>
        </w:tabs>
        <w:spacing w:before="60" w:after="120" w:line="240" w:lineRule="auto"/>
        <w:rPr>
          <w:rFonts w:ascii="Verdana" w:eastAsia="Verdana" w:hAnsi="Verdana" w:cs="Times New Roman"/>
          <w:i/>
          <w:iCs/>
          <w:color w:val="00428B"/>
          <w:sz w:val="16"/>
          <w:szCs w:val="24"/>
          <w:lang w:eastAsia="fr-CA"/>
        </w:rPr>
      </w:pPr>
      <w:r w:rsidRPr="00DF1238">
        <w:rPr>
          <w:rFonts w:ascii="Verdana" w:eastAsia="Verdana" w:hAnsi="Verdana" w:cs="Times New Roman"/>
          <w:bCs/>
          <w:i/>
          <w:iCs/>
          <w:color w:val="00428B"/>
          <w:sz w:val="16"/>
          <w:szCs w:val="24"/>
          <w:lang w:eastAsia="fr-CA"/>
        </w:rPr>
        <w:t xml:space="preserve">Figure </w:t>
      </w:r>
      <w:r w:rsidRPr="00DF1238">
        <w:rPr>
          <w:rFonts w:ascii="Verdana" w:eastAsia="Verdana" w:hAnsi="Verdana" w:cs="Times New Roman"/>
          <w:bCs/>
          <w:i/>
          <w:iCs/>
          <w:color w:val="2B579A"/>
          <w:sz w:val="16"/>
          <w:szCs w:val="24"/>
          <w:shd w:val="clear" w:color="auto" w:fill="E6E6E6"/>
          <w:lang w:eastAsia="fr-CA"/>
        </w:rPr>
        <w:fldChar w:fldCharType="begin"/>
      </w:r>
      <w:r w:rsidRPr="00DF1238">
        <w:rPr>
          <w:rFonts w:ascii="Verdana" w:eastAsia="Verdana" w:hAnsi="Verdana" w:cs="Times New Roman"/>
          <w:bCs/>
          <w:i/>
          <w:iCs/>
          <w:color w:val="00428B"/>
          <w:sz w:val="16"/>
          <w:szCs w:val="24"/>
          <w:lang w:eastAsia="fr-CA"/>
        </w:rPr>
        <w:instrText xml:space="preserve"> SEQ Figure \* ARABIC </w:instrText>
      </w:r>
      <w:r w:rsidRPr="00DF1238">
        <w:rPr>
          <w:rFonts w:ascii="Verdana" w:eastAsia="Verdana" w:hAnsi="Verdana" w:cs="Times New Roman"/>
          <w:bCs/>
          <w:i/>
          <w:iCs/>
          <w:color w:val="2B579A"/>
          <w:sz w:val="16"/>
          <w:szCs w:val="24"/>
          <w:shd w:val="clear" w:color="auto" w:fill="E6E6E6"/>
          <w:lang w:eastAsia="fr-CA"/>
        </w:rPr>
        <w:fldChar w:fldCharType="separate"/>
      </w:r>
      <w:r w:rsidRPr="00DF1238">
        <w:rPr>
          <w:rFonts w:ascii="Verdana" w:eastAsia="Verdana" w:hAnsi="Verdana" w:cs="Times New Roman"/>
          <w:bCs/>
          <w:i/>
          <w:iCs/>
          <w:noProof/>
          <w:color w:val="00428B"/>
          <w:sz w:val="16"/>
          <w:szCs w:val="24"/>
          <w:lang w:eastAsia="fr-CA"/>
        </w:rPr>
        <w:t>4</w:t>
      </w:r>
      <w:r w:rsidRPr="00DF1238">
        <w:rPr>
          <w:rFonts w:ascii="Verdana" w:eastAsia="Verdana" w:hAnsi="Verdana" w:cs="Times New Roman"/>
          <w:bCs/>
          <w:i/>
          <w:iCs/>
          <w:color w:val="2B579A"/>
          <w:sz w:val="16"/>
          <w:szCs w:val="24"/>
          <w:shd w:val="clear" w:color="auto" w:fill="E6E6E6"/>
          <w:lang w:eastAsia="fr-CA"/>
        </w:rPr>
        <w:fldChar w:fldCharType="end"/>
      </w:r>
      <w:r w:rsidRPr="00DF1238">
        <w:rPr>
          <w:rFonts w:ascii="Verdana" w:eastAsia="Verdana" w:hAnsi="Verdana" w:cs="Times New Roman"/>
          <w:bCs/>
          <w:color w:val="00428B"/>
          <w:sz w:val="16"/>
          <w:szCs w:val="24"/>
          <w:lang w:eastAsia="fr-CA"/>
        </w:rPr>
        <w:t>.</w:t>
      </w:r>
      <w:r w:rsidRPr="00DF1238">
        <w:rPr>
          <w:rFonts w:ascii="Verdana" w:eastAsia="Verdana" w:hAnsi="Verdana" w:cs="Times New Roman"/>
          <w:i/>
          <w:iCs/>
          <w:color w:val="00428B"/>
          <w:sz w:val="16"/>
          <w:szCs w:val="24"/>
          <w:lang w:eastAsia="fr-CA"/>
        </w:rPr>
        <w:t xml:space="preserve"> Scales at which stormwater harvesting and infiltration opportunities are typically implemented </w:t>
      </w:r>
    </w:p>
    <w:p w:rsidR="00DF1238" w:rsidRPr="00DF1238" w:rsidRDefault="00DF1238" w:rsidP="00DF1238">
      <w:pPr>
        <w:spacing w:after="0" w:line="320" w:lineRule="atLeast"/>
        <w:rPr>
          <w:rFonts w:ascii="Verdana" w:eastAsia="Times New Roman" w:hAnsi="Verdana" w:cs="Times New Roman"/>
          <w:color w:val="231F20"/>
          <w:sz w:val="18"/>
          <w:szCs w:val="24"/>
          <w:lang w:val="en-US" w:eastAsia="en-AU"/>
        </w:rPr>
      </w:pPr>
    </w:p>
    <w:p w:rsidR="00DF1238" w:rsidRPr="00DF1238" w:rsidRDefault="00DF1238" w:rsidP="00DF1238">
      <w:pPr>
        <w:spacing w:after="0" w:line="320" w:lineRule="atLeast"/>
        <w:rPr>
          <w:rFonts w:ascii="Verdana" w:eastAsia="Times New Roman" w:hAnsi="Verdana" w:cs="Times New Roman"/>
          <w:color w:val="231F20"/>
          <w:sz w:val="18"/>
          <w:szCs w:val="24"/>
          <w:lang w:val="en-US" w:eastAsia="en-AU"/>
        </w:rPr>
      </w:pPr>
      <w:r w:rsidRPr="00DF1238">
        <w:rPr>
          <w:rFonts w:ascii="Verdana" w:eastAsia="Times New Roman" w:hAnsi="Verdana" w:cs="Times New Roman"/>
          <w:color w:val="231F20"/>
          <w:sz w:val="18"/>
          <w:szCs w:val="24"/>
          <w:lang w:val="en-US" w:eastAsia="en-AU"/>
        </w:rPr>
        <w:t>Descriptions of each of these scales is provided in Table 1</w:t>
      </w:r>
      <w:r w:rsidRPr="00DF1238">
        <w:rPr>
          <w:rFonts w:ascii="Verdana" w:eastAsia="Times New Roman" w:hAnsi="Verdana" w:cs="Times New Roman"/>
          <w:color w:val="231F20"/>
          <w:sz w:val="18"/>
          <w:szCs w:val="24"/>
          <w:lang w:eastAsia="en-AU"/>
        </w:rPr>
        <w:t xml:space="preserve"> below with </w:t>
      </w:r>
      <w:r w:rsidRPr="00DF1238">
        <w:rPr>
          <w:rFonts w:ascii="Verdana" w:eastAsia="Times New Roman" w:hAnsi="Verdana" w:cs="Times New Roman"/>
          <w:color w:val="231F20"/>
          <w:sz w:val="18"/>
          <w:szCs w:val="24"/>
          <w:lang w:val="en-US" w:eastAsia="en-AU"/>
        </w:rPr>
        <w:t>examples of typical interventions at that scale. In considering scale, it’s important that the proposed targets need to be met upstream of the receiving waterway.</w:t>
      </w:r>
    </w:p>
    <w:p w:rsidR="00DF1238" w:rsidRPr="00DF1238" w:rsidRDefault="00DF1238" w:rsidP="00DF1238">
      <w:pPr>
        <w:spacing w:after="0" w:line="320" w:lineRule="atLeast"/>
        <w:rPr>
          <w:rFonts w:ascii="Verdana" w:eastAsia="Times New Roman" w:hAnsi="Verdana" w:cs="Times New Roman"/>
          <w:color w:val="231F20"/>
          <w:sz w:val="18"/>
          <w:szCs w:val="24"/>
          <w:lang w:val="en-US" w:eastAsia="en-AU"/>
        </w:rPr>
      </w:pPr>
    </w:p>
    <w:p w:rsidR="00DF1238" w:rsidRPr="00DF1238" w:rsidRDefault="00DF1238" w:rsidP="00DF1238">
      <w:pPr>
        <w:spacing w:after="0" w:line="320" w:lineRule="atLeast"/>
        <w:rPr>
          <w:rFonts w:ascii="Verdana" w:eastAsia="Times New Roman" w:hAnsi="Verdana" w:cs="Times New Roman"/>
          <w:color w:val="231F20"/>
          <w:sz w:val="18"/>
          <w:szCs w:val="24"/>
          <w:lang w:val="en-US" w:eastAsia="en-AU"/>
        </w:rPr>
      </w:pPr>
      <w:r w:rsidRPr="00DF1238">
        <w:rPr>
          <w:rFonts w:ascii="Verdana" w:eastAsia="Times New Roman" w:hAnsi="Verdana" w:cs="Times New Roman"/>
          <w:color w:val="231F20"/>
          <w:sz w:val="18"/>
          <w:szCs w:val="24"/>
          <w:lang w:val="en-US" w:eastAsia="en-AU"/>
        </w:rPr>
        <w:t>The land development industry in collaboration with water authorities, implement stormwater management and potable water conservation measures (like wetlands and rainwater tanks respectively) as part of drainage schemes and development-scale IWM Plans. Councils and water authorities also assist with the planning, design and funding of stormwater harvesting schemes.</w:t>
      </w:r>
    </w:p>
    <w:p w:rsidR="00DF1238" w:rsidRPr="00DF1238" w:rsidRDefault="00DF1238" w:rsidP="00DF1238">
      <w:pPr>
        <w:spacing w:after="0" w:line="320" w:lineRule="atLeast"/>
        <w:rPr>
          <w:rFonts w:ascii="Verdana" w:eastAsia="Times New Roman" w:hAnsi="Verdana" w:cs="Times New Roman"/>
          <w:color w:val="231F20"/>
          <w:sz w:val="18"/>
          <w:szCs w:val="24"/>
          <w:lang w:val="en-US" w:eastAsia="en-AU"/>
        </w:rPr>
      </w:pPr>
    </w:p>
    <w:p w:rsidR="00DF1238" w:rsidRPr="00DF1238" w:rsidRDefault="00DF1238" w:rsidP="00DF1238">
      <w:pPr>
        <w:spacing w:after="0" w:line="320" w:lineRule="atLeast"/>
        <w:rPr>
          <w:rFonts w:ascii="Verdana" w:eastAsia="Times New Roman" w:hAnsi="Verdana" w:cs="Times New Roman"/>
          <w:color w:val="231F20"/>
          <w:sz w:val="18"/>
          <w:szCs w:val="24"/>
          <w:lang w:val="en-US" w:eastAsia="en-AU"/>
        </w:rPr>
      </w:pPr>
      <w:r w:rsidRPr="00DF1238">
        <w:rPr>
          <w:rFonts w:ascii="Verdana" w:eastAsia="Times New Roman" w:hAnsi="Verdana" w:cs="Times New Roman"/>
          <w:color w:val="231F20"/>
          <w:sz w:val="18"/>
          <w:szCs w:val="24"/>
          <w:lang w:val="en-US" w:eastAsia="en-AU"/>
        </w:rPr>
        <w:t>While initiatives like rainwater tanks and wetlands represent an important contribution to infiltration and harvesting targets, they are unlikely to be sufficient in isolation to meet the HWS stormwater targets. Meeting the targets therefore likely requires interventions across a range of scales.</w:t>
      </w:r>
    </w:p>
    <w:p w:rsidR="00DF1238" w:rsidRPr="00DF1238" w:rsidRDefault="00DF1238" w:rsidP="00DF1238">
      <w:pPr>
        <w:spacing w:after="0" w:line="320" w:lineRule="atLeast"/>
        <w:rPr>
          <w:rFonts w:ascii="Verdana" w:eastAsia="Times New Roman" w:hAnsi="Verdana" w:cs="Times New Roman"/>
          <w:color w:val="231F20"/>
          <w:sz w:val="18"/>
          <w:szCs w:val="24"/>
          <w:lang w:val="en-US" w:eastAsia="en-AU"/>
        </w:rPr>
      </w:pPr>
    </w:p>
    <w:p w:rsidR="00DF1238" w:rsidRPr="00DF1238" w:rsidRDefault="00DF1238" w:rsidP="00DF1238">
      <w:pPr>
        <w:spacing w:after="0" w:line="320" w:lineRule="atLeast"/>
        <w:rPr>
          <w:rFonts w:ascii="Verdana" w:eastAsia="Times New Roman" w:hAnsi="Verdana" w:cs="Times New Roman"/>
          <w:color w:val="231F20"/>
          <w:sz w:val="18"/>
          <w:szCs w:val="24"/>
          <w:lang w:val="en-US" w:eastAsia="en-AU"/>
        </w:rPr>
      </w:pPr>
    </w:p>
    <w:p w:rsidR="00DF1238" w:rsidRPr="00DF1238" w:rsidRDefault="00DF1238" w:rsidP="00DF1238">
      <w:pPr>
        <w:spacing w:after="0" w:line="320" w:lineRule="atLeast"/>
        <w:rPr>
          <w:rFonts w:ascii="Verdana" w:eastAsia="Verdana" w:hAnsi="Verdana" w:cs="Times New Roman"/>
          <w:bCs/>
          <w:color w:val="00428B"/>
          <w:sz w:val="16"/>
          <w:szCs w:val="24"/>
          <w:lang w:eastAsia="fr-CA"/>
        </w:rPr>
        <w:sectPr w:rsidR="00DF1238" w:rsidRPr="00DF1238" w:rsidSect="00E2304F">
          <w:pgSz w:w="11906" w:h="16838" w:code="9"/>
          <w:pgMar w:top="1134" w:right="1134" w:bottom="1134" w:left="1134" w:header="567" w:footer="567" w:gutter="0"/>
          <w:cols w:space="708"/>
          <w:docGrid w:linePitch="360"/>
        </w:sectPr>
      </w:pPr>
    </w:p>
    <w:p w:rsidR="00DF1238" w:rsidRPr="00DF1238" w:rsidRDefault="00DF1238" w:rsidP="00DF1238">
      <w:pPr>
        <w:keepNext/>
        <w:keepLines/>
        <w:tabs>
          <w:tab w:val="left" w:pos="1134"/>
        </w:tabs>
        <w:spacing w:before="60" w:after="120" w:line="240" w:lineRule="auto"/>
        <w:rPr>
          <w:rFonts w:ascii="Verdana" w:eastAsia="Verdana" w:hAnsi="Verdana" w:cs="Times New Roman"/>
          <w:bCs/>
          <w:color w:val="00428B"/>
          <w:sz w:val="16"/>
          <w:szCs w:val="24"/>
          <w:lang w:eastAsia="fr-CA"/>
        </w:rPr>
      </w:pPr>
      <w:r w:rsidRPr="00DF1238">
        <w:rPr>
          <w:rFonts w:ascii="Verdana" w:eastAsia="Verdana" w:hAnsi="Verdana" w:cs="Times New Roman"/>
          <w:bCs/>
          <w:color w:val="00428B"/>
          <w:sz w:val="16"/>
          <w:szCs w:val="24"/>
          <w:lang w:eastAsia="fr-CA"/>
        </w:rPr>
        <w:lastRenderedPageBreak/>
        <w:t xml:space="preserve">Table 1.  Potential contributions to the HWS target at each scale </w:t>
      </w:r>
    </w:p>
    <w:tbl>
      <w:tblPr>
        <w:tblStyle w:val="GridTable1Light-Accent3"/>
        <w:tblW w:w="13877" w:type="dxa"/>
        <w:tblLook w:val="04A0" w:firstRow="1" w:lastRow="0" w:firstColumn="1" w:lastColumn="0" w:noHBand="0" w:noVBand="1"/>
        <w:tblCaption w:val="Table on potential stormwater treatment interventions at 3 spatial scales"/>
      </w:tblPr>
      <w:tblGrid>
        <w:gridCol w:w="3031"/>
        <w:gridCol w:w="6061"/>
        <w:gridCol w:w="4785"/>
      </w:tblGrid>
      <w:tr w:rsidR="00DF1238" w:rsidRPr="00DF1238" w:rsidTr="00A442AC">
        <w:trPr>
          <w:cnfStyle w:val="100000000000" w:firstRow="1" w:lastRow="0" w:firstColumn="0" w:lastColumn="0" w:oddVBand="0" w:evenVBand="0" w:oddHBand="0" w:evenHBand="0" w:firstRowFirstColumn="0" w:firstRowLastColumn="0" w:lastRowFirstColumn="0" w:lastRowLastColumn="0"/>
          <w:trHeight w:val="256"/>
          <w:tblHeader/>
        </w:trPr>
        <w:tc>
          <w:tcPr>
            <w:cnfStyle w:val="001000000000" w:firstRow="0" w:lastRow="0" w:firstColumn="1" w:lastColumn="0" w:oddVBand="0" w:evenVBand="0" w:oddHBand="0" w:evenHBand="0" w:firstRowFirstColumn="0" w:firstRowLastColumn="0" w:lastRowFirstColumn="0" w:lastRowLastColumn="0"/>
            <w:tcW w:w="3031" w:type="dxa"/>
          </w:tcPr>
          <w:p w:rsidR="00DF1238" w:rsidRPr="00DF1238" w:rsidRDefault="00DF1238" w:rsidP="00DF1238">
            <w:pPr>
              <w:spacing w:before="40" w:after="40"/>
              <w:rPr>
                <w:rFonts w:ascii="Verdana" w:eastAsia="Times New Roman" w:hAnsi="Verdana" w:cs="Times New Roman"/>
                <w:sz w:val="16"/>
                <w:szCs w:val="16"/>
              </w:rPr>
            </w:pPr>
            <w:r w:rsidRPr="00DF1238">
              <w:rPr>
                <w:rFonts w:ascii="Verdana" w:eastAsia="Times New Roman" w:hAnsi="Verdana" w:cs="Times New Roman"/>
                <w:sz w:val="16"/>
                <w:szCs w:val="16"/>
              </w:rPr>
              <w:t>Scale</w:t>
            </w:r>
          </w:p>
        </w:tc>
        <w:tc>
          <w:tcPr>
            <w:tcW w:w="6061" w:type="dxa"/>
          </w:tcPr>
          <w:p w:rsidR="00DF1238" w:rsidRPr="00DF1238" w:rsidRDefault="00DF1238" w:rsidP="00DF1238">
            <w:pPr>
              <w:spacing w:before="40" w:after="40"/>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sz w:val="16"/>
                <w:szCs w:val="16"/>
              </w:rPr>
            </w:pPr>
            <w:r w:rsidRPr="00DF1238">
              <w:rPr>
                <w:rFonts w:ascii="Verdana" w:eastAsia="Times New Roman" w:hAnsi="Verdana" w:cs="Times New Roman"/>
                <w:sz w:val="16"/>
                <w:szCs w:val="16"/>
              </w:rPr>
              <w:t xml:space="preserve">Description </w:t>
            </w:r>
          </w:p>
        </w:tc>
        <w:tc>
          <w:tcPr>
            <w:tcW w:w="4785" w:type="dxa"/>
          </w:tcPr>
          <w:p w:rsidR="00DF1238" w:rsidRPr="00DF1238" w:rsidRDefault="00DF1238" w:rsidP="00DF1238">
            <w:pPr>
              <w:spacing w:before="40" w:after="40"/>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sz w:val="16"/>
                <w:szCs w:val="16"/>
              </w:rPr>
            </w:pPr>
            <w:r w:rsidRPr="00DF1238">
              <w:rPr>
                <w:rFonts w:ascii="Verdana" w:eastAsia="Times New Roman" w:hAnsi="Verdana" w:cs="Times New Roman"/>
                <w:sz w:val="16"/>
                <w:szCs w:val="16"/>
              </w:rPr>
              <w:t>Typical interventions (examples)</w:t>
            </w:r>
          </w:p>
        </w:tc>
      </w:tr>
      <w:tr w:rsidR="00DF1238" w:rsidRPr="00DF1238" w:rsidTr="00A442AC">
        <w:trPr>
          <w:trHeight w:val="1753"/>
        </w:trPr>
        <w:tc>
          <w:tcPr>
            <w:cnfStyle w:val="001000000000" w:firstRow="0" w:lastRow="0" w:firstColumn="1" w:lastColumn="0" w:oddVBand="0" w:evenVBand="0" w:oddHBand="0" w:evenHBand="0" w:firstRowFirstColumn="0" w:firstRowLastColumn="0" w:lastRowFirstColumn="0" w:lastRowLastColumn="0"/>
            <w:tcW w:w="3031" w:type="dxa"/>
          </w:tcPr>
          <w:p w:rsidR="00DF1238" w:rsidRPr="00DF1238" w:rsidRDefault="00DF1238" w:rsidP="00DF1238">
            <w:pPr>
              <w:spacing w:before="40" w:after="40"/>
              <w:rPr>
                <w:rFonts w:ascii="Verdana" w:eastAsia="Times New Roman" w:hAnsi="Verdana" w:cs="Times New Roman"/>
                <w:sz w:val="16"/>
                <w:szCs w:val="16"/>
                <w:lang w:val="en-US" w:eastAsia="en-AU"/>
              </w:rPr>
            </w:pPr>
            <w:r w:rsidRPr="00DF1238">
              <w:rPr>
                <w:rFonts w:ascii="Verdana" w:eastAsia="Times New Roman" w:hAnsi="Verdana" w:cs="Times New Roman"/>
                <w:sz w:val="16"/>
                <w:szCs w:val="16"/>
                <w:lang w:val="en-US" w:eastAsia="en-AU"/>
              </w:rPr>
              <w:t>Allotment / street scale</w:t>
            </w:r>
          </w:p>
        </w:tc>
        <w:tc>
          <w:tcPr>
            <w:tcW w:w="6061" w:type="dxa"/>
          </w:tcPr>
          <w:p w:rsidR="00DF1238" w:rsidRPr="00DF1238" w:rsidRDefault="00DF1238" w:rsidP="00DF1238">
            <w:pPr>
              <w:spacing w:before="40" w:after="40"/>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val="en-US" w:eastAsia="en-AU"/>
              </w:rPr>
            </w:pPr>
            <w:r w:rsidRPr="00DF1238">
              <w:rPr>
                <w:rFonts w:ascii="Verdana" w:eastAsia="Times New Roman" w:hAnsi="Verdana" w:cs="Times New Roman"/>
                <w:sz w:val="16"/>
                <w:szCs w:val="16"/>
                <w:lang w:val="en-US" w:eastAsia="en-AU"/>
              </w:rPr>
              <w:t>Typically a smaller residential, commercial or industrial development.</w:t>
            </w:r>
          </w:p>
          <w:p w:rsidR="00DF1238" w:rsidRPr="00DF1238" w:rsidRDefault="00DF1238" w:rsidP="00DF1238">
            <w:pPr>
              <w:spacing w:before="40" w:after="40"/>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val="en-US" w:eastAsia="en-AU"/>
              </w:rPr>
            </w:pPr>
            <w:r w:rsidRPr="00DF1238">
              <w:rPr>
                <w:rFonts w:ascii="Verdana" w:eastAsia="Times New Roman" w:hAnsi="Verdana" w:cs="Times New Roman"/>
                <w:sz w:val="16"/>
                <w:szCs w:val="16"/>
                <w:lang w:val="en-US" w:eastAsia="en-AU"/>
              </w:rPr>
              <w:t>Relies on landscape design to enable infiltration in the streetscape</w:t>
            </w:r>
          </w:p>
          <w:p w:rsidR="00DF1238" w:rsidRPr="00DF1238" w:rsidRDefault="00DF1238" w:rsidP="00DF1238">
            <w:pPr>
              <w:spacing w:before="40" w:after="40"/>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val="en-US" w:eastAsia="en-AU"/>
              </w:rPr>
            </w:pPr>
            <w:r w:rsidRPr="00DF1238">
              <w:rPr>
                <w:rFonts w:ascii="Verdana" w:eastAsia="Times New Roman" w:hAnsi="Verdana" w:cs="Times New Roman"/>
                <w:sz w:val="16"/>
                <w:szCs w:val="16"/>
                <w:lang w:val="en-US"/>
              </w:rPr>
              <w:t xml:space="preserve">Assumed to have little to no public open space and limited potential for stormwater irrigation. </w:t>
            </w:r>
          </w:p>
        </w:tc>
        <w:tc>
          <w:tcPr>
            <w:tcW w:w="4785" w:type="dxa"/>
          </w:tcPr>
          <w:p w:rsidR="00DF1238" w:rsidRPr="00DF1238" w:rsidRDefault="00DF1238" w:rsidP="00DF1238">
            <w:pPr>
              <w:numPr>
                <w:ilvl w:val="0"/>
                <w:numId w:val="6"/>
              </w:numPr>
              <w:spacing w:before="40" w:after="40"/>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val="en-US" w:eastAsia="en-AU"/>
              </w:rPr>
            </w:pPr>
            <w:r w:rsidRPr="00DF1238">
              <w:rPr>
                <w:rFonts w:ascii="Verdana" w:eastAsia="Times New Roman" w:hAnsi="Verdana" w:cs="Times New Roman"/>
                <w:sz w:val="16"/>
                <w:szCs w:val="16"/>
                <w:lang w:val="en-US" w:eastAsia="en-AU"/>
              </w:rPr>
              <w:t>Lot scale rainwater tanks (‘leaky tanks’)</w:t>
            </w:r>
          </w:p>
          <w:p w:rsidR="00DF1238" w:rsidRPr="00DF1238" w:rsidRDefault="00DF1238" w:rsidP="00DF1238">
            <w:pPr>
              <w:numPr>
                <w:ilvl w:val="0"/>
                <w:numId w:val="6"/>
              </w:numPr>
              <w:spacing w:before="40" w:after="40"/>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val="en-US" w:eastAsia="en-AU"/>
              </w:rPr>
            </w:pPr>
            <w:r w:rsidRPr="00DF1238">
              <w:rPr>
                <w:rFonts w:ascii="Verdana" w:eastAsia="Times New Roman" w:hAnsi="Verdana" w:cs="Times New Roman"/>
                <w:sz w:val="16"/>
                <w:szCs w:val="16"/>
                <w:lang w:val="en-US" w:eastAsia="en-AU"/>
              </w:rPr>
              <w:t xml:space="preserve">Lot scale raingardens </w:t>
            </w:r>
          </w:p>
          <w:p w:rsidR="00DF1238" w:rsidRPr="00DF1238" w:rsidRDefault="00DF1238" w:rsidP="00DF1238">
            <w:pPr>
              <w:numPr>
                <w:ilvl w:val="0"/>
                <w:numId w:val="6"/>
              </w:numPr>
              <w:spacing w:before="40" w:after="40"/>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rPr>
            </w:pPr>
            <w:r w:rsidRPr="00DF1238">
              <w:rPr>
                <w:rFonts w:ascii="Verdana" w:eastAsia="Times New Roman" w:hAnsi="Verdana" w:cs="Times New Roman"/>
                <w:sz w:val="16"/>
                <w:szCs w:val="16"/>
                <w:lang w:val="en-US"/>
              </w:rPr>
              <w:t>Street scale infiltration including passive irrigation for street trees</w:t>
            </w:r>
          </w:p>
        </w:tc>
      </w:tr>
      <w:tr w:rsidR="00DF1238" w:rsidRPr="00DF1238" w:rsidTr="00A442AC">
        <w:trPr>
          <w:trHeight w:val="2289"/>
        </w:trPr>
        <w:tc>
          <w:tcPr>
            <w:cnfStyle w:val="001000000000" w:firstRow="0" w:lastRow="0" w:firstColumn="1" w:lastColumn="0" w:oddVBand="0" w:evenVBand="0" w:oddHBand="0" w:evenHBand="0" w:firstRowFirstColumn="0" w:firstRowLastColumn="0" w:lastRowFirstColumn="0" w:lastRowLastColumn="0"/>
            <w:tcW w:w="3031" w:type="dxa"/>
          </w:tcPr>
          <w:p w:rsidR="00DF1238" w:rsidRPr="00DF1238" w:rsidRDefault="00DF1238" w:rsidP="00DF1238">
            <w:pPr>
              <w:spacing w:before="40" w:after="40"/>
              <w:rPr>
                <w:rFonts w:ascii="Verdana" w:eastAsia="Times New Roman" w:hAnsi="Verdana" w:cs="Times New Roman"/>
                <w:sz w:val="16"/>
                <w:szCs w:val="16"/>
                <w:lang w:val="en-US" w:eastAsia="en-AU"/>
              </w:rPr>
            </w:pPr>
            <w:r w:rsidRPr="00DF1238">
              <w:rPr>
                <w:rFonts w:ascii="Verdana" w:eastAsia="Times New Roman" w:hAnsi="Verdana" w:cs="Times New Roman"/>
                <w:sz w:val="16"/>
                <w:szCs w:val="16"/>
                <w:lang w:val="en-US" w:eastAsia="en-AU"/>
              </w:rPr>
              <w:t xml:space="preserve">Precinct scale </w:t>
            </w:r>
          </w:p>
        </w:tc>
        <w:tc>
          <w:tcPr>
            <w:tcW w:w="6061" w:type="dxa"/>
          </w:tcPr>
          <w:p w:rsidR="00DF1238" w:rsidRPr="00DF1238" w:rsidRDefault="00DF1238" w:rsidP="00DF1238">
            <w:pPr>
              <w:spacing w:before="40" w:after="40"/>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val="en-US" w:eastAsia="en-AU"/>
              </w:rPr>
            </w:pPr>
            <w:r w:rsidRPr="00DF1238">
              <w:rPr>
                <w:rFonts w:ascii="Verdana" w:eastAsia="Times New Roman" w:hAnsi="Verdana" w:cs="Times New Roman"/>
                <w:sz w:val="16"/>
                <w:szCs w:val="16"/>
                <w:lang w:val="en-US" w:eastAsia="en-AU"/>
              </w:rPr>
              <w:t>A larger greenfield development or area covered by a precinct structure plan (PSP)</w:t>
            </w:r>
          </w:p>
          <w:p w:rsidR="00DF1238" w:rsidRPr="00DF1238" w:rsidRDefault="00DF1238" w:rsidP="00DF1238">
            <w:pPr>
              <w:spacing w:before="40" w:after="40"/>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val="en-US" w:eastAsia="en-AU"/>
              </w:rPr>
            </w:pPr>
            <w:r w:rsidRPr="00DF1238">
              <w:rPr>
                <w:rFonts w:ascii="Verdana" w:eastAsia="Times New Roman" w:hAnsi="Verdana" w:cs="Times New Roman"/>
                <w:sz w:val="16"/>
                <w:szCs w:val="16"/>
                <w:lang w:val="en-US" w:eastAsia="en-AU"/>
              </w:rPr>
              <w:t>Include features like community facilities, active open space and passive space for relaxation.</w:t>
            </w:r>
          </w:p>
          <w:p w:rsidR="00DF1238" w:rsidRPr="00DF1238" w:rsidRDefault="00DF1238" w:rsidP="00DF1238">
            <w:pPr>
              <w:spacing w:before="40" w:after="40"/>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val="en-US" w:eastAsia="en-AU"/>
              </w:rPr>
            </w:pPr>
            <w:r w:rsidRPr="00DF1238">
              <w:rPr>
                <w:rFonts w:ascii="Verdana" w:eastAsia="Times New Roman" w:hAnsi="Verdana" w:cs="Times New Roman"/>
                <w:sz w:val="16"/>
                <w:szCs w:val="16"/>
                <w:lang w:val="en-US" w:eastAsia="en-AU"/>
              </w:rPr>
              <w:t>May include a natural or (proposed) constructed waterway, stormwater treatment wetland or headwater stream</w:t>
            </w:r>
          </w:p>
          <w:p w:rsidR="00DF1238" w:rsidRPr="00DF1238" w:rsidRDefault="00DF1238" w:rsidP="00DF1238">
            <w:pPr>
              <w:spacing w:before="40" w:after="40"/>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val="en-US" w:eastAsia="en-AU"/>
              </w:rPr>
            </w:pPr>
            <w:r w:rsidRPr="00DF1238">
              <w:rPr>
                <w:rFonts w:ascii="Verdana" w:eastAsia="Times New Roman" w:hAnsi="Verdana" w:cs="Times New Roman"/>
                <w:sz w:val="16"/>
                <w:szCs w:val="16"/>
                <w:lang w:val="en-US" w:eastAsia="en-AU"/>
              </w:rPr>
              <w:t xml:space="preserve">May also include commercial areas and one or more schools </w:t>
            </w:r>
          </w:p>
        </w:tc>
        <w:tc>
          <w:tcPr>
            <w:tcW w:w="4785" w:type="dxa"/>
          </w:tcPr>
          <w:p w:rsidR="00DF1238" w:rsidRPr="00DF1238" w:rsidRDefault="00DF1238" w:rsidP="00DF1238">
            <w:pPr>
              <w:spacing w:before="40" w:after="40"/>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val="en-US" w:eastAsia="en-AU"/>
              </w:rPr>
            </w:pPr>
            <w:r w:rsidRPr="00DF1238">
              <w:rPr>
                <w:rFonts w:ascii="Verdana" w:eastAsia="Times New Roman" w:hAnsi="Verdana" w:cs="Times New Roman"/>
                <w:sz w:val="16"/>
                <w:szCs w:val="16"/>
                <w:lang w:val="en-US" w:eastAsia="en-AU"/>
              </w:rPr>
              <w:t>Allotment / street scale interventions plus</w:t>
            </w:r>
          </w:p>
          <w:p w:rsidR="00DF1238" w:rsidRPr="00DF1238" w:rsidRDefault="00DF1238" w:rsidP="00DF1238">
            <w:pPr>
              <w:numPr>
                <w:ilvl w:val="0"/>
                <w:numId w:val="4"/>
              </w:numPr>
              <w:spacing w:before="40" w:after="40"/>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val="en-US" w:eastAsia="en-AU"/>
              </w:rPr>
            </w:pPr>
            <w:r w:rsidRPr="00DF1238">
              <w:rPr>
                <w:rFonts w:ascii="Verdana" w:eastAsia="Times New Roman" w:hAnsi="Verdana" w:cs="Times New Roman"/>
                <w:sz w:val="16"/>
                <w:szCs w:val="16"/>
                <w:lang w:val="en-US" w:eastAsia="en-AU"/>
              </w:rPr>
              <w:t>Stormwater harvesting for the irrigation of open space</w:t>
            </w:r>
          </w:p>
          <w:p w:rsidR="00DF1238" w:rsidRPr="00DF1238" w:rsidRDefault="00DF1238" w:rsidP="00DF1238">
            <w:pPr>
              <w:numPr>
                <w:ilvl w:val="0"/>
                <w:numId w:val="4"/>
              </w:numPr>
              <w:spacing w:before="40" w:after="40"/>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val="en-US" w:eastAsia="en-AU"/>
              </w:rPr>
            </w:pPr>
            <w:r w:rsidRPr="00DF1238">
              <w:rPr>
                <w:rFonts w:ascii="Verdana" w:eastAsia="Times New Roman" w:hAnsi="Verdana" w:cs="Times New Roman"/>
                <w:sz w:val="16"/>
                <w:szCs w:val="16"/>
                <w:lang w:val="en-US" w:eastAsia="en-AU"/>
              </w:rPr>
              <w:t>Leaky wetlands for infiltration</w:t>
            </w:r>
          </w:p>
          <w:p w:rsidR="00DF1238" w:rsidRPr="00DF1238" w:rsidRDefault="00DF1238" w:rsidP="00DF1238">
            <w:pPr>
              <w:numPr>
                <w:ilvl w:val="0"/>
                <w:numId w:val="4"/>
              </w:numPr>
              <w:spacing w:before="40" w:after="40"/>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val="en-US" w:eastAsia="en-AU"/>
              </w:rPr>
            </w:pPr>
            <w:r w:rsidRPr="00DF1238">
              <w:rPr>
                <w:rFonts w:ascii="Verdana" w:eastAsia="Times New Roman" w:hAnsi="Verdana" w:cs="Times New Roman"/>
                <w:sz w:val="16"/>
                <w:szCs w:val="16"/>
                <w:lang w:val="en-US" w:eastAsia="en-AU"/>
              </w:rPr>
              <w:t>Infiltration trenches in open space / garden beds</w:t>
            </w:r>
          </w:p>
          <w:p w:rsidR="00DF1238" w:rsidRPr="00DF1238" w:rsidRDefault="00DF1238" w:rsidP="00DF1238">
            <w:pPr>
              <w:numPr>
                <w:ilvl w:val="0"/>
                <w:numId w:val="4"/>
              </w:numPr>
              <w:spacing w:before="40" w:after="40"/>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rPr>
            </w:pPr>
            <w:r w:rsidRPr="00DF1238">
              <w:rPr>
                <w:rFonts w:ascii="Verdana" w:eastAsia="Times New Roman" w:hAnsi="Verdana" w:cs="Times New Roman"/>
                <w:sz w:val="16"/>
                <w:szCs w:val="16"/>
              </w:rPr>
              <w:t xml:space="preserve">Large roof rainwater harvesting </w:t>
            </w:r>
          </w:p>
        </w:tc>
      </w:tr>
      <w:tr w:rsidR="00DF1238" w:rsidRPr="00DF1238" w:rsidTr="00A442AC">
        <w:trPr>
          <w:trHeight w:val="2282"/>
        </w:trPr>
        <w:tc>
          <w:tcPr>
            <w:cnfStyle w:val="001000000000" w:firstRow="0" w:lastRow="0" w:firstColumn="1" w:lastColumn="0" w:oddVBand="0" w:evenVBand="0" w:oddHBand="0" w:evenHBand="0" w:firstRowFirstColumn="0" w:firstRowLastColumn="0" w:lastRowFirstColumn="0" w:lastRowLastColumn="0"/>
            <w:tcW w:w="3031" w:type="dxa"/>
          </w:tcPr>
          <w:p w:rsidR="00DF1238" w:rsidRPr="00DF1238" w:rsidRDefault="00DF1238" w:rsidP="00DF1238">
            <w:pPr>
              <w:spacing w:before="40" w:after="40"/>
              <w:rPr>
                <w:rFonts w:ascii="Verdana" w:eastAsia="Times New Roman" w:hAnsi="Verdana" w:cs="Times New Roman"/>
                <w:sz w:val="16"/>
                <w:szCs w:val="16"/>
              </w:rPr>
            </w:pPr>
            <w:r w:rsidRPr="00DF1238">
              <w:rPr>
                <w:rFonts w:ascii="Verdana" w:eastAsia="Times New Roman" w:hAnsi="Verdana" w:cs="Times New Roman"/>
                <w:sz w:val="16"/>
                <w:szCs w:val="16"/>
                <w:lang w:val="en-US" w:eastAsia="en-AU"/>
              </w:rPr>
              <w:t xml:space="preserve">Regional / catchment scale </w:t>
            </w:r>
          </w:p>
        </w:tc>
        <w:tc>
          <w:tcPr>
            <w:tcW w:w="6061" w:type="dxa"/>
          </w:tcPr>
          <w:p w:rsidR="00DF1238" w:rsidRPr="00DF1238" w:rsidRDefault="00DF1238" w:rsidP="00DF1238">
            <w:pPr>
              <w:spacing w:before="40" w:after="40"/>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val="en-US" w:eastAsia="en-AU"/>
              </w:rPr>
            </w:pPr>
            <w:r w:rsidRPr="00DF1238">
              <w:rPr>
                <w:rFonts w:ascii="Verdana" w:eastAsia="Times New Roman" w:hAnsi="Verdana" w:cs="Times New Roman"/>
                <w:sz w:val="16"/>
                <w:szCs w:val="16"/>
                <w:lang w:val="en-US" w:eastAsia="en-AU"/>
              </w:rPr>
              <w:t xml:space="preserve">An area defined more by regional than development or precinct boundaries </w:t>
            </w:r>
          </w:p>
          <w:p w:rsidR="00DF1238" w:rsidRPr="00DF1238" w:rsidRDefault="00DF1238" w:rsidP="00DF1238">
            <w:pPr>
              <w:spacing w:before="40" w:after="40"/>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val="en-US" w:eastAsia="en-AU"/>
              </w:rPr>
            </w:pPr>
            <w:r w:rsidRPr="00DF1238">
              <w:rPr>
                <w:rFonts w:ascii="Verdana" w:eastAsia="Times New Roman" w:hAnsi="Verdana" w:cs="Times New Roman"/>
                <w:sz w:val="16"/>
                <w:szCs w:val="16"/>
                <w:lang w:val="en-US" w:eastAsia="en-AU"/>
              </w:rPr>
              <w:t xml:space="preserve">Would include a number of precincts that would incorporate a number of open spaces and treatment wetlands </w:t>
            </w:r>
          </w:p>
          <w:p w:rsidR="00DF1238" w:rsidRPr="00DF1238" w:rsidRDefault="00DF1238" w:rsidP="00DF1238">
            <w:pPr>
              <w:spacing w:before="40" w:after="40"/>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val="en-US" w:eastAsia="en-AU"/>
              </w:rPr>
            </w:pPr>
            <w:r w:rsidRPr="00DF1238">
              <w:rPr>
                <w:rFonts w:ascii="Verdana" w:eastAsia="Times New Roman" w:hAnsi="Verdana" w:cs="Times New Roman"/>
                <w:sz w:val="16"/>
                <w:szCs w:val="16"/>
                <w:lang w:val="en-US" w:eastAsia="en-AU"/>
              </w:rPr>
              <w:t>Likely to include minor and potentially major waterways.</w:t>
            </w:r>
          </w:p>
        </w:tc>
        <w:tc>
          <w:tcPr>
            <w:tcW w:w="4785" w:type="dxa"/>
          </w:tcPr>
          <w:p w:rsidR="00DF1238" w:rsidRPr="00DF1238" w:rsidRDefault="00DF1238" w:rsidP="00DF1238">
            <w:pPr>
              <w:spacing w:before="40" w:after="40"/>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lang w:val="en-US" w:eastAsia="en-AU"/>
              </w:rPr>
            </w:pPr>
            <w:r w:rsidRPr="00DF1238">
              <w:rPr>
                <w:rFonts w:ascii="Verdana" w:eastAsia="Times New Roman" w:hAnsi="Verdana" w:cs="Times New Roman"/>
                <w:sz w:val="16"/>
                <w:szCs w:val="16"/>
                <w:lang w:val="en-US" w:eastAsia="en-AU"/>
              </w:rPr>
              <w:t>A stormwater network, collecting outflows from treatment wetlands for conveyance to meet a large demand (e.g. water for an irrigation district).</w:t>
            </w:r>
          </w:p>
          <w:p w:rsidR="00DF1238" w:rsidRPr="00DF1238" w:rsidRDefault="00DF1238" w:rsidP="00DF1238">
            <w:pPr>
              <w:spacing w:before="40" w:after="40"/>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16"/>
                <w:szCs w:val="16"/>
              </w:rPr>
            </w:pPr>
            <w:r w:rsidRPr="00DF1238">
              <w:rPr>
                <w:rFonts w:ascii="Verdana" w:eastAsia="Times New Roman" w:hAnsi="Verdana" w:cs="Times New Roman"/>
                <w:sz w:val="16"/>
                <w:szCs w:val="16"/>
              </w:rPr>
              <w:t>Plus precinct and allotment scale interventions as required</w:t>
            </w:r>
          </w:p>
        </w:tc>
      </w:tr>
    </w:tbl>
    <w:p w:rsidR="00DF1238" w:rsidRPr="00DF1238" w:rsidRDefault="00DF1238" w:rsidP="00DF1238">
      <w:pPr>
        <w:spacing w:after="0" w:line="320" w:lineRule="atLeast"/>
        <w:rPr>
          <w:rFonts w:ascii="Verdana" w:eastAsia="Times New Roman" w:hAnsi="Verdana" w:cs="Times New Roman"/>
          <w:color w:val="231F20"/>
          <w:sz w:val="18"/>
          <w:szCs w:val="24"/>
          <w:highlight w:val="yellow"/>
          <w:lang w:eastAsia="en-AU"/>
        </w:rPr>
      </w:pPr>
    </w:p>
    <w:p w:rsidR="00DF1238" w:rsidRPr="00DF1238" w:rsidRDefault="00DF1238" w:rsidP="00DF1238">
      <w:pPr>
        <w:spacing w:after="0" w:line="320" w:lineRule="atLeast"/>
        <w:rPr>
          <w:rFonts w:ascii="Verdana" w:eastAsia="Times New Roman" w:hAnsi="Verdana" w:cs="Times New Roman"/>
          <w:color w:val="231F20"/>
          <w:sz w:val="18"/>
          <w:szCs w:val="24"/>
          <w:highlight w:val="yellow"/>
          <w:lang w:eastAsia="en-AU"/>
        </w:rPr>
        <w:sectPr w:rsidR="00DF1238" w:rsidRPr="00DF1238" w:rsidSect="00316D9A">
          <w:pgSz w:w="16838" w:h="11906" w:orient="landscape" w:code="9"/>
          <w:pgMar w:top="1134" w:right="1134" w:bottom="1134" w:left="1134" w:header="567" w:footer="567" w:gutter="0"/>
          <w:cols w:space="708"/>
          <w:docGrid w:linePitch="360"/>
        </w:sectPr>
      </w:pPr>
    </w:p>
    <w:p w:rsidR="00DF1238" w:rsidRPr="00DF1238" w:rsidRDefault="00DF1238" w:rsidP="00DF1238">
      <w:pPr>
        <w:spacing w:after="0" w:line="320" w:lineRule="atLeast"/>
        <w:rPr>
          <w:rFonts w:ascii="Verdana" w:eastAsia="Times New Roman" w:hAnsi="Verdana" w:cs="Times New Roman"/>
          <w:color w:val="231F20"/>
          <w:sz w:val="18"/>
          <w:szCs w:val="24"/>
          <w:lang w:eastAsia="en-AU"/>
        </w:rPr>
      </w:pPr>
      <w:r w:rsidRPr="00DF1238">
        <w:rPr>
          <w:rFonts w:ascii="Verdana" w:eastAsia="Times New Roman" w:hAnsi="Verdana" w:cs="Times New Roman"/>
          <w:color w:val="231F20"/>
          <w:sz w:val="18"/>
          <w:szCs w:val="24"/>
          <w:lang w:eastAsia="en-AU"/>
        </w:rPr>
        <w:lastRenderedPageBreak/>
        <w:fldChar w:fldCharType="begin"/>
      </w:r>
      <w:r w:rsidRPr="00DF1238">
        <w:rPr>
          <w:rFonts w:ascii="Verdana" w:eastAsia="Times New Roman" w:hAnsi="Verdana" w:cs="Times New Roman"/>
          <w:color w:val="231F20"/>
          <w:sz w:val="18"/>
          <w:szCs w:val="24"/>
          <w:lang w:eastAsia="en-AU"/>
        </w:rPr>
        <w:instrText xml:space="preserve"> REF _Ref69476238 \h  \* MERGEFORMAT </w:instrText>
      </w:r>
      <w:r w:rsidRPr="00DF1238">
        <w:rPr>
          <w:rFonts w:ascii="Verdana" w:eastAsia="Times New Roman" w:hAnsi="Verdana" w:cs="Times New Roman"/>
          <w:color w:val="231F20"/>
          <w:sz w:val="18"/>
          <w:szCs w:val="24"/>
          <w:lang w:eastAsia="en-AU"/>
        </w:rPr>
      </w:r>
      <w:r w:rsidRPr="00DF1238">
        <w:rPr>
          <w:rFonts w:ascii="Verdana" w:eastAsia="Times New Roman" w:hAnsi="Verdana" w:cs="Times New Roman"/>
          <w:color w:val="231F20"/>
          <w:sz w:val="18"/>
          <w:szCs w:val="24"/>
          <w:lang w:eastAsia="en-AU"/>
        </w:rPr>
        <w:fldChar w:fldCharType="separate"/>
      </w:r>
      <w:r w:rsidRPr="00DF1238">
        <w:rPr>
          <w:rFonts w:ascii="Verdana" w:eastAsia="Times New Roman" w:hAnsi="Verdana" w:cs="Times New Roman"/>
          <w:color w:val="231F20"/>
          <w:sz w:val="18"/>
          <w:szCs w:val="24"/>
          <w:lang w:eastAsia="en-AU"/>
        </w:rPr>
        <w:t>Figure 5</w:t>
      </w:r>
      <w:r w:rsidRPr="00DF1238">
        <w:rPr>
          <w:rFonts w:ascii="Verdana" w:eastAsia="Times New Roman" w:hAnsi="Verdana" w:cs="Times New Roman"/>
          <w:color w:val="231F20"/>
          <w:sz w:val="18"/>
          <w:szCs w:val="24"/>
          <w:lang w:eastAsia="en-AU"/>
        </w:rPr>
        <w:fldChar w:fldCharType="end"/>
      </w:r>
      <w:r w:rsidRPr="00DF1238">
        <w:rPr>
          <w:rFonts w:ascii="Verdana" w:eastAsia="Times New Roman" w:hAnsi="Verdana" w:cs="Times New Roman"/>
          <w:color w:val="231F20"/>
          <w:sz w:val="18"/>
          <w:szCs w:val="24"/>
          <w:lang w:eastAsia="en-AU"/>
        </w:rPr>
        <w:t xml:space="preserve"> illustrates the potential percentage contribution at each scale of intervention, recognising the constraints and opportunities within each context. It suggests that while allotment / street scale interventions deliver a valuable contribution, precinct and regional interventions are required. Where those interventions occur is also important with precinct and regional interventions needing to occur prior to stormwater reaching the receiving waterway. For example, distributed treatment and harvesting assets will be preferable to end of line schemes.</w:t>
      </w:r>
    </w:p>
    <w:p w:rsidR="00DF1238" w:rsidRPr="00DF1238" w:rsidRDefault="00DF1238" w:rsidP="00DF1238">
      <w:pPr>
        <w:spacing w:after="0" w:line="320" w:lineRule="atLeast"/>
        <w:rPr>
          <w:rFonts w:ascii="Verdana" w:eastAsia="Times New Roman" w:hAnsi="Verdana" w:cs="Times New Roman"/>
          <w:color w:val="231F20"/>
          <w:sz w:val="18"/>
          <w:szCs w:val="24"/>
          <w:lang w:eastAsia="en-AU"/>
        </w:rPr>
      </w:pPr>
    </w:p>
    <w:p w:rsidR="00DF1238" w:rsidRPr="00DF1238" w:rsidRDefault="00DF1238" w:rsidP="00DF1238">
      <w:pPr>
        <w:spacing w:after="0" w:line="320" w:lineRule="atLeast"/>
        <w:rPr>
          <w:rFonts w:ascii="Verdana" w:eastAsia="Times New Roman" w:hAnsi="Verdana" w:cs="Times New Roman"/>
          <w:color w:val="231F20"/>
          <w:sz w:val="18"/>
          <w:szCs w:val="24"/>
          <w:lang w:eastAsia="en-AU"/>
        </w:rPr>
      </w:pPr>
      <w:r w:rsidRPr="00DF1238">
        <w:rPr>
          <w:rFonts w:ascii="Verdana" w:eastAsia="Times New Roman" w:hAnsi="Verdana" w:cs="Times New Roman"/>
          <w:color w:val="231F20"/>
          <w:sz w:val="18"/>
          <w:szCs w:val="24"/>
          <w:lang w:eastAsia="en-AU"/>
        </w:rPr>
        <w:t xml:space="preserve">Options identified at the precinct and regional scale present opportunities that a range of stakeholders across scales can contribute to in order to meet the target in that location. </w:t>
      </w:r>
    </w:p>
    <w:p w:rsidR="00DF1238" w:rsidRPr="00DF1238" w:rsidRDefault="00DF1238" w:rsidP="00DF1238">
      <w:pPr>
        <w:spacing w:after="0" w:line="320" w:lineRule="atLeast"/>
        <w:rPr>
          <w:rFonts w:ascii="Verdana" w:eastAsia="Times New Roman" w:hAnsi="Verdana" w:cs="Times New Roman"/>
          <w:color w:val="231F20"/>
          <w:sz w:val="18"/>
          <w:szCs w:val="24"/>
          <w:lang w:eastAsia="en-AU"/>
        </w:rPr>
      </w:pPr>
    </w:p>
    <w:p w:rsidR="00DF1238" w:rsidRPr="00DF1238" w:rsidRDefault="00DF1238" w:rsidP="00DF1238">
      <w:pPr>
        <w:spacing w:after="0" w:line="320" w:lineRule="atLeast"/>
        <w:rPr>
          <w:rFonts w:ascii="Verdana" w:eastAsia="Times New Roman" w:hAnsi="Verdana" w:cs="Times New Roman"/>
          <w:color w:val="231F20"/>
          <w:sz w:val="18"/>
          <w:szCs w:val="24"/>
          <w:lang w:eastAsia="en-AU"/>
        </w:rPr>
      </w:pPr>
      <w:r w:rsidRPr="00DF1238">
        <w:rPr>
          <w:rFonts w:ascii="Verdana" w:eastAsia="Times New Roman" w:hAnsi="Verdana" w:cs="Times New Roman"/>
          <w:color w:val="231F20"/>
          <w:sz w:val="18"/>
          <w:szCs w:val="24"/>
          <w:lang w:eastAsia="en-AU"/>
        </w:rPr>
        <w:t xml:space="preserve">For example, land developers implement allotment / street scale interventions (e.g. rainwater tanks plumbed internally, raingardens, permeable pavements etc). However, if a precinct or regional scale opportunity has been identified beyond the development boundary, the developer may be required to contribute to the delivery of that opportunity. This could be via a financial contribution based on an impervious hectare rate. </w:t>
      </w:r>
    </w:p>
    <w:p w:rsidR="00DF1238" w:rsidRPr="00DF1238" w:rsidRDefault="00DF1238" w:rsidP="00DF1238">
      <w:pPr>
        <w:spacing w:after="0" w:line="320" w:lineRule="atLeast"/>
        <w:rPr>
          <w:rFonts w:ascii="Verdana" w:eastAsia="Times New Roman" w:hAnsi="Verdana" w:cs="Times New Roman"/>
          <w:color w:val="231F20"/>
          <w:sz w:val="18"/>
          <w:szCs w:val="24"/>
          <w:lang w:eastAsia="en-AU"/>
        </w:rPr>
      </w:pPr>
    </w:p>
    <w:p w:rsidR="00DF1238" w:rsidRPr="00DF1238" w:rsidRDefault="00DF1238" w:rsidP="00DF1238">
      <w:pPr>
        <w:spacing w:after="0" w:line="320" w:lineRule="atLeast"/>
        <w:rPr>
          <w:rFonts w:ascii="Verdana" w:eastAsia="Times New Roman" w:hAnsi="Verdana" w:cs="Times New Roman"/>
          <w:color w:val="231F20"/>
          <w:sz w:val="18"/>
          <w:szCs w:val="24"/>
          <w:lang w:eastAsia="en-AU"/>
        </w:rPr>
      </w:pPr>
      <w:r w:rsidRPr="00DF1238">
        <w:rPr>
          <w:rFonts w:ascii="Verdana" w:eastAsia="Times New Roman" w:hAnsi="Verdana" w:cs="Times New Roman"/>
          <w:color w:val="231F20"/>
          <w:sz w:val="18"/>
          <w:szCs w:val="24"/>
          <w:lang w:eastAsia="en-AU"/>
        </w:rPr>
        <w:t>This may be a similar process to that employed by Melbourne Water in applying their Development Service Schemes (DSS) whereby BPEM stormwater quality targets are met by catchment scale assets (like stormwater treatment wetlands), that are funded by developers contributing flows to that catchment.</w:t>
      </w:r>
      <w:r w:rsidRPr="00DF1238">
        <w:rPr>
          <w:rFonts w:ascii="Verdana" w:eastAsia="Times New Roman" w:hAnsi="Verdana" w:cs="Times New Roman"/>
          <w:color w:val="231F20"/>
          <w:sz w:val="24"/>
          <w:szCs w:val="24"/>
          <w:lang w:eastAsia="en-AU"/>
        </w:rPr>
        <w:t xml:space="preserve"> </w:t>
      </w:r>
    </w:p>
    <w:p w:rsidR="00DF1238" w:rsidRPr="00DF1238" w:rsidRDefault="00DF1238" w:rsidP="00DF1238">
      <w:pPr>
        <w:spacing w:after="0" w:line="320" w:lineRule="atLeast"/>
        <w:rPr>
          <w:rFonts w:ascii="Verdana" w:eastAsia="Times New Roman" w:hAnsi="Verdana" w:cs="Times New Roman"/>
          <w:color w:val="231F20"/>
          <w:sz w:val="18"/>
          <w:szCs w:val="24"/>
          <w:lang w:eastAsia="en-AU"/>
        </w:rPr>
      </w:pPr>
    </w:p>
    <w:p w:rsidR="00DF1238" w:rsidRPr="00DF1238" w:rsidRDefault="00DF1238" w:rsidP="00DF1238">
      <w:pPr>
        <w:spacing w:after="0" w:line="320" w:lineRule="atLeast"/>
        <w:rPr>
          <w:rFonts w:ascii="Verdana" w:eastAsia="Times New Roman" w:hAnsi="Verdana" w:cs="Times New Roman"/>
          <w:color w:val="231F20"/>
          <w:sz w:val="18"/>
          <w:szCs w:val="24"/>
          <w:lang w:eastAsia="en-AU"/>
        </w:rPr>
      </w:pPr>
    </w:p>
    <w:p w:rsidR="00DF1238" w:rsidRPr="00DF1238" w:rsidRDefault="00DF1238" w:rsidP="00DF1238">
      <w:pPr>
        <w:spacing w:after="0" w:line="320" w:lineRule="atLeast"/>
        <w:rPr>
          <w:rFonts w:ascii="Verdana" w:eastAsia="Times New Roman" w:hAnsi="Verdana" w:cs="Times New Roman"/>
          <w:color w:val="231F20"/>
          <w:sz w:val="18"/>
          <w:szCs w:val="24"/>
          <w:lang w:eastAsia="en-AU"/>
        </w:rPr>
      </w:pPr>
      <w:r w:rsidRPr="00DF1238">
        <w:rPr>
          <w:rFonts w:ascii="Verdana" w:eastAsia="Times New Roman" w:hAnsi="Verdana" w:cs="Times New Roman"/>
          <w:noProof/>
          <w:color w:val="231F20"/>
          <w:sz w:val="18"/>
          <w:szCs w:val="24"/>
          <w:lang w:eastAsia="en-AU"/>
        </w:rPr>
        <mc:AlternateContent>
          <mc:Choice Requires="wps">
            <w:drawing>
              <wp:anchor distT="0" distB="0" distL="114300" distR="114300" simplePos="0" relativeHeight="251669504" behindDoc="0" locked="0" layoutInCell="1" allowOverlap="1" wp14:anchorId="39B7F2A0" wp14:editId="60E3BD10">
                <wp:simplePos x="0" y="0"/>
                <wp:positionH relativeFrom="column">
                  <wp:posOffset>4291330</wp:posOffset>
                </wp:positionH>
                <wp:positionV relativeFrom="paragraph">
                  <wp:posOffset>1344528</wp:posOffset>
                </wp:positionV>
                <wp:extent cx="1608881" cy="428119"/>
                <wp:effectExtent l="0" t="0" r="0" b="0"/>
                <wp:wrapNone/>
                <wp:docPr id="4" name="Rectangle 4"/>
                <wp:cNvGraphicFramePr/>
                <a:graphic xmlns:a="http://schemas.openxmlformats.org/drawingml/2006/main">
                  <a:graphicData uri="http://schemas.microsoft.com/office/word/2010/wordprocessingShape">
                    <wps:wsp>
                      <wps:cNvSpPr/>
                      <wps:spPr>
                        <a:xfrm>
                          <a:off x="0" y="0"/>
                          <a:ext cx="1608881" cy="428119"/>
                        </a:xfrm>
                        <a:prstGeom prst="rect">
                          <a:avLst/>
                        </a:prstGeom>
                        <a:solidFill>
                          <a:srgbClr val="00428B"/>
                        </a:solidFill>
                        <a:ln w="25400" cap="flat" cmpd="sng" algn="ctr">
                          <a:noFill/>
                          <a:prstDash val="solid"/>
                        </a:ln>
                        <a:effectLst/>
                      </wps:spPr>
                      <wps:txbx>
                        <w:txbxContent>
                          <w:p w:rsidR="00DF1238" w:rsidRPr="00DF1238" w:rsidRDefault="00DF1238" w:rsidP="00DF1238">
                            <w:pPr>
                              <w:pStyle w:val="BodyText"/>
                              <w:spacing w:line="240" w:lineRule="auto"/>
                              <w:jc w:val="center"/>
                              <w:rPr>
                                <w:color w:val="FFFFFF"/>
                                <w:sz w:val="18"/>
                              </w:rPr>
                            </w:pPr>
                            <w:r w:rsidRPr="00DF1238">
                              <w:rPr>
                                <w:color w:val="FFFFFF"/>
                                <w:sz w:val="18"/>
                              </w:rPr>
                              <w:t>Regional / catchment scale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B7F2A0" id="Rectangle 4" o:spid="_x0000_s1026" style="position:absolute;margin-left:337.9pt;margin-top:105.85pt;width:126.7pt;height:33.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XDbYwIAAMMEAAAOAAAAZHJzL2Uyb0RvYy54bWysVE1v2zAMvQ/YfxB0X21nbpcacYqsRYcB&#10;RVusHXpmZMk2oK9JSuzu14+SnbTrdhp2UUiRfiSfHrO6GJUke+58b3RNi5OcEq6ZaXrd1vT74/WH&#10;JSU+gG5AGs1r+sw9vVi/f7cabMUXpjOy4Y4giPbVYGvahWCrLPOs4wr8ibFcY1AYpyCg69qscTAg&#10;upLZIs/PssG4xjrDuPd4ezUF6TrhC8FZuBPC80BkTbG3kE6Xzm08s/UKqtaB7Xo2twH/0IWCXmPR&#10;I9QVBCA71/8BpXrmjDcinDCjMiNEz3iaAacp8jfTPHRgeZoFyfH2SJP/f7Dsdn/vSN/UtKREg8In&#10;+oakgW4lJ2WkZ7C+wqwHe+9mz6MZZx2FU/EXpyBjovT5SCkfA2F4WZzly+WyoIRhrFwsi+I8gmYv&#10;X1vnwxduFIlGTR1WT0zC/saHKfWQEot5I/vmupcyOa7dXkpH9hCfN0f8zzP6b2lSk6Gmi9MyRwkw&#10;QJkJCQFNZXFwr1tKQLaoXxZcqq1NrIDFoYq1r8B3U40EO5eQOsZ5EtncauRqYidaYdyOidqP8Yt4&#10;szXNM9LtzKRDb9l1j/g34MM9OBQe9ofLFO7wENJg02a2KOmM+/m3+5iPesAoJQMKGQf6sQPHKZFf&#10;NSrlvCjLqPzklKefFui415Ht64jeqUuDZOKLYXfJjPlBHkzhjHrCndvEqhgCzbD2RN3sXIZpwXBr&#10;Gd9sUhqq3UK40Q+WRfADs4/jEzg7P31A0dyag+iheqOAKTd+qc1mF4zokzxeeEVZRQc3JQls3uq4&#10;iq/9lPXy37P+BQAA//8DAFBLAwQUAAYACAAAACEAzNG7J98AAAALAQAADwAAAGRycy9kb3ducmV2&#10;LnhtbEyPwU7DMBBE70j8g7VI3KgTSzRNiFMhEAckLmnh7sQmsYjXke22CV/PcoLjzo5m3tT7xU3s&#10;bEK0HiXkmwyYwd5ri4OE9+PL3Q5YTAq1mjwaCauJsG+ur2pVaX/B1pwPaWAUgrFSEsaU5orz2I/G&#10;qbjxs0H6ffrgVKIzDFwHdaFwN3GRZVvulEVqGNVsnkbTfx1OTsLb90ebvS7P3AZbdmLXr21yq5S3&#10;N8vjA7BklvRnhl98QoeGmDp/Qh3ZJGFb3BN6kiDyvABGjlKUAlhHSlHmwJua/9/Q/AAAAP//AwBQ&#10;SwECLQAUAAYACAAAACEAtoM4kv4AAADhAQAAEwAAAAAAAAAAAAAAAAAAAAAAW0NvbnRlbnRfVHlw&#10;ZXNdLnhtbFBLAQItABQABgAIAAAAIQA4/SH/1gAAAJQBAAALAAAAAAAAAAAAAAAAAC8BAABfcmVs&#10;cy8ucmVsc1BLAQItABQABgAIAAAAIQCWcXDbYwIAAMMEAAAOAAAAAAAAAAAAAAAAAC4CAABkcnMv&#10;ZTJvRG9jLnhtbFBLAQItABQABgAIAAAAIQDM0bsn3wAAAAsBAAAPAAAAAAAAAAAAAAAAAL0EAABk&#10;cnMvZG93bnJldi54bWxQSwUGAAAAAAQABADzAAAAyQUAAAAA&#10;" fillcolor="#00428b" stroked="f" strokeweight="2pt">
                <v:textbox>
                  <w:txbxContent>
                    <w:p w:rsidR="00DF1238" w:rsidRPr="00DF1238" w:rsidRDefault="00DF1238" w:rsidP="00DF1238">
                      <w:pPr>
                        <w:pStyle w:val="BodyText"/>
                        <w:spacing w:line="240" w:lineRule="auto"/>
                        <w:jc w:val="center"/>
                        <w:rPr>
                          <w:color w:val="FFFFFF"/>
                          <w:sz w:val="18"/>
                        </w:rPr>
                      </w:pPr>
                      <w:r w:rsidRPr="00DF1238">
                        <w:rPr>
                          <w:color w:val="FFFFFF"/>
                          <w:sz w:val="18"/>
                        </w:rPr>
                        <w:t>Regional / catchment scale</w:t>
                      </w:r>
                    </w:p>
                  </w:txbxContent>
                </v:textbox>
              </v:rect>
            </w:pict>
          </mc:Fallback>
        </mc:AlternateContent>
      </w:r>
      <w:r w:rsidR="00A442AC" w:rsidRPr="00DF1238">
        <w:rPr>
          <w:rFonts w:ascii="Verdana" w:eastAsia="Times New Roman" w:hAnsi="Verdana" w:cs="Times New Roman"/>
          <w:noProof/>
          <w:color w:val="231F20"/>
          <w:sz w:val="18"/>
          <w:szCs w:val="24"/>
          <w:lang w:eastAsia="en-AU"/>
        </w:rPr>
        <mc:AlternateContent>
          <mc:Choice Requires="wps">
            <w:drawing>
              <wp:inline distT="0" distB="0" distL="0" distR="0" wp14:anchorId="724A3DC7" wp14:editId="2530FC2C">
                <wp:extent cx="2046849" cy="467833"/>
                <wp:effectExtent l="0" t="0" r="0" b="0"/>
                <wp:docPr id="2" name="Text Box 2"/>
                <wp:cNvGraphicFramePr/>
                <a:graphic xmlns:a="http://schemas.openxmlformats.org/drawingml/2006/main">
                  <a:graphicData uri="http://schemas.microsoft.com/office/word/2010/wordprocessingShape">
                    <wps:wsp>
                      <wps:cNvSpPr txBox="1"/>
                      <wps:spPr>
                        <a:xfrm>
                          <a:off x="0" y="0"/>
                          <a:ext cx="2046849" cy="467833"/>
                        </a:xfrm>
                        <a:prstGeom prst="rect">
                          <a:avLst/>
                        </a:prstGeom>
                        <a:noFill/>
                        <a:ln w="6350">
                          <a:noFill/>
                        </a:ln>
                      </wps:spPr>
                      <wps:txbx>
                        <w:txbxContent>
                          <w:p w:rsidR="00A442AC" w:rsidRPr="004816C4" w:rsidRDefault="00A442AC" w:rsidP="00A442AC">
                            <w:pPr>
                              <w:spacing w:line="240" w:lineRule="auto"/>
                              <w:jc w:val="center"/>
                              <w:rPr>
                                <w:i/>
                                <w:sz w:val="16"/>
                              </w:rPr>
                            </w:pPr>
                            <w:r w:rsidRPr="004816C4">
                              <w:rPr>
                                <w:i/>
                                <w:sz w:val="16"/>
                              </w:rPr>
                              <w:t>Targets met prior to stormwater entering the waterway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24A3DC7" id="_x0000_t202" coordsize="21600,21600" o:spt="202" path="m,l,21600r21600,l21600,xe">
                <v:stroke joinstyle="miter"/>
                <v:path gradientshapeok="t" o:connecttype="rect"/>
              </v:shapetype>
              <v:shape id="Text Box 2" o:spid="_x0000_s1027" type="#_x0000_t202" style="width:161.15pt;height:3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MzvMAIAAFgEAAAOAAAAZHJzL2Uyb0RvYy54bWysVFFv2jAQfp+0/2D5fSSElFJEqFgrpklV&#10;WwmmPhvHJpEcn2cbEvbrd3YCRd2epr2Y893lzt/33bG47xpFjsK6GnRBx6OUEqE5lLXeF/THdv1l&#10;RonzTJdMgRYFPQlH75efPy1aMxcZVKBKYQkW0W7emoJW3pt5kjheiYa5ERihMSjBNszj1e6T0rIW&#10;qzcqydJ0mrRgS2OBC+fQ+9gH6TLWl1Jw/yKlE56oguLbfDxtPHfhTJYLNt9bZqqaD89g//CKhtUa&#10;m15KPTLPyMHWf5Rqam7BgfQjDk0CUtZcRAyIZpx+QLOpmBERC5LjzIUm9//K8ufjqyV1WdCMEs0a&#10;lGgrOk++QkeywE5r3ByTNgbTfIduVPnsd+gMoDtpm/CLcAjGkefThdtQjKMzS/PpLL+jhGMsn97O&#10;JpNQJnn/2ljnvwloSDAKalG7SCk7Pjnfp55TQjMN61qpqJ/SpC3odHKTxg8uESyuNPYIGPq3Bst3&#10;u25APODbQXlCeBb68XCGr2t8wxNz/pVZnAdEhDPuX/CQCrAXDBYlFdhff/OHfJQJo5S0OF8FdT8P&#10;zApK1HeNAt6N8zwMZLzkN7cZXux1ZHcd0YfmAXCEx7hNhkcz5Ht1NqWF5g1XYRW6Yohpjr0L6s/m&#10;g++nHleJi9UqJuEIGuaf9MbwUDqwGhjedm/MmkEGjwI+w3kS2fyDGn1ur8fq4EHWUarAc8/qQD+O&#10;bxR7WLWwH9f3mPX+h7D8DQAA//8DAFBLAwQUAAYACAAAACEA2GBvc90AAAAEAQAADwAAAGRycy9k&#10;b3ducmV2LnhtbEyPQUvDQBCF74L/YRnBm92YoC0xm1ICRRA9tPbibZKdJsHd2ZjdtrG/vqsXvQw8&#10;3uO9b4rlZI040uh7xwruZwkI4sbpnlsFu/f13QKED8gajWNS8E0eluX1VYG5dife0HEbWhFL2Oeo&#10;oAthyKX0TUcW/cwNxNHbu9FiiHJspR7xFMutkWmSPEqLPceFDgeqOmo+twer4KVav+GmTu3ibKrn&#10;1/1q+Np9PCh1ezOtnkAEmsJfGH7wIzqUkal2B9ZeGAXxkfB7o5elaQaiVjDP5iDLQv6HLy8AAAD/&#10;/wMAUEsBAi0AFAAGAAgAAAAhALaDOJL+AAAA4QEAABMAAAAAAAAAAAAAAAAAAAAAAFtDb250ZW50&#10;X1R5cGVzXS54bWxQSwECLQAUAAYACAAAACEAOP0h/9YAAACUAQAACwAAAAAAAAAAAAAAAAAvAQAA&#10;X3JlbHMvLnJlbHNQSwECLQAUAAYACAAAACEAKOzM7zACAABYBAAADgAAAAAAAAAAAAAAAAAuAgAA&#10;ZHJzL2Uyb0RvYy54bWxQSwECLQAUAAYACAAAACEA2GBvc90AAAAEAQAADwAAAAAAAAAAAAAAAACK&#10;BAAAZHJzL2Rvd25yZXYueG1sUEsFBgAAAAAEAAQA8wAAAJQFAAAAAA==&#10;" filled="f" stroked="f" strokeweight=".5pt">
                <v:textbox>
                  <w:txbxContent>
                    <w:p w:rsidR="00A442AC" w:rsidRPr="004816C4" w:rsidRDefault="00A442AC" w:rsidP="00A442AC">
                      <w:pPr>
                        <w:spacing w:line="240" w:lineRule="auto"/>
                        <w:jc w:val="center"/>
                        <w:rPr>
                          <w:i/>
                          <w:sz w:val="16"/>
                        </w:rPr>
                      </w:pPr>
                      <w:r w:rsidRPr="004816C4">
                        <w:rPr>
                          <w:i/>
                          <w:sz w:val="16"/>
                        </w:rPr>
                        <w:t>Targets met prior to stormwater entering the waterway</w:t>
                      </w:r>
                    </w:p>
                  </w:txbxContent>
                </v:textbox>
                <w10:anchorlock/>
              </v:shape>
            </w:pict>
          </mc:Fallback>
        </mc:AlternateContent>
      </w:r>
      <w:r w:rsidRPr="00DF1238">
        <w:rPr>
          <w:rFonts w:ascii="Verdana" w:eastAsia="Times New Roman" w:hAnsi="Verdana" w:cs="Times New Roman"/>
          <w:noProof/>
          <w:color w:val="231F20"/>
          <w:sz w:val="18"/>
          <w:szCs w:val="24"/>
          <w:lang w:eastAsia="en-AU"/>
        </w:rPr>
        <w:drawing>
          <wp:inline distT="0" distB="0" distL="0" distR="0" wp14:anchorId="1BD8FFF5" wp14:editId="6EE0181E">
            <wp:extent cx="6120130" cy="3271520"/>
            <wp:effectExtent l="0" t="0" r="0" b="5080"/>
            <wp:docPr id="17" name="Graphic 6" title="Graph diagram showing potential contribution of each scale of intervention in meeting the HWS targets for priority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96DAC541-7B7A-43D3-8B79-37D633B846F1}">
                          <asvg:svgBlip xmlns:arto="http://schemas.microsoft.com/office/word/2006/arto"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1"/>
                        </a:ext>
                      </a:extLst>
                    </a:blip>
                    <a:stretch>
                      <a:fillRect/>
                    </a:stretch>
                  </pic:blipFill>
                  <pic:spPr>
                    <a:xfrm>
                      <a:off x="0" y="0"/>
                      <a:ext cx="6120130" cy="3271520"/>
                    </a:xfrm>
                    <a:prstGeom prst="rect">
                      <a:avLst/>
                    </a:prstGeom>
                  </pic:spPr>
                </pic:pic>
              </a:graphicData>
            </a:graphic>
          </wp:inline>
        </w:drawing>
      </w:r>
    </w:p>
    <w:p w:rsidR="00DF1238" w:rsidRPr="00DF1238" w:rsidRDefault="00DF1238" w:rsidP="00DF1238">
      <w:pPr>
        <w:keepNext/>
        <w:keepLines/>
        <w:tabs>
          <w:tab w:val="left" w:pos="1134"/>
        </w:tabs>
        <w:spacing w:before="60" w:after="120" w:line="240" w:lineRule="auto"/>
        <w:rPr>
          <w:rFonts w:ascii="Verdana" w:eastAsia="Verdana" w:hAnsi="Verdana" w:cs="Times New Roman"/>
          <w:b/>
          <w:bCs/>
          <w:i/>
          <w:iCs/>
          <w:color w:val="00428B"/>
          <w:sz w:val="16"/>
          <w:szCs w:val="24"/>
          <w:lang w:eastAsia="fr-CA"/>
        </w:rPr>
      </w:pPr>
      <w:r w:rsidRPr="00DF1238">
        <w:rPr>
          <w:rFonts w:ascii="Verdana" w:eastAsia="Verdana" w:hAnsi="Verdana" w:cs="Times New Roman"/>
          <w:bCs/>
          <w:i/>
          <w:iCs/>
          <w:color w:val="00428B"/>
          <w:sz w:val="16"/>
          <w:szCs w:val="24"/>
          <w:lang w:eastAsia="fr-CA"/>
        </w:rPr>
        <w:t xml:space="preserve">Figure </w:t>
      </w:r>
      <w:r w:rsidRPr="00DF1238">
        <w:rPr>
          <w:rFonts w:ascii="Verdana" w:eastAsia="Verdana" w:hAnsi="Verdana" w:cs="Times New Roman"/>
          <w:bCs/>
          <w:i/>
          <w:iCs/>
          <w:color w:val="2B579A"/>
          <w:sz w:val="16"/>
          <w:szCs w:val="24"/>
          <w:shd w:val="clear" w:color="auto" w:fill="E6E6E6"/>
          <w:lang w:eastAsia="fr-CA"/>
        </w:rPr>
        <w:fldChar w:fldCharType="begin"/>
      </w:r>
      <w:r w:rsidRPr="00DF1238">
        <w:rPr>
          <w:rFonts w:ascii="Verdana" w:eastAsia="Verdana" w:hAnsi="Verdana" w:cs="Times New Roman"/>
          <w:bCs/>
          <w:i/>
          <w:iCs/>
          <w:color w:val="00428B"/>
          <w:sz w:val="16"/>
          <w:szCs w:val="24"/>
          <w:lang w:eastAsia="fr-CA"/>
        </w:rPr>
        <w:instrText xml:space="preserve"> SEQ Figure \* ARABIC </w:instrText>
      </w:r>
      <w:r w:rsidRPr="00DF1238">
        <w:rPr>
          <w:rFonts w:ascii="Verdana" w:eastAsia="Verdana" w:hAnsi="Verdana" w:cs="Times New Roman"/>
          <w:bCs/>
          <w:i/>
          <w:iCs/>
          <w:color w:val="2B579A"/>
          <w:sz w:val="16"/>
          <w:szCs w:val="24"/>
          <w:shd w:val="clear" w:color="auto" w:fill="E6E6E6"/>
          <w:lang w:eastAsia="fr-CA"/>
        </w:rPr>
        <w:fldChar w:fldCharType="separate"/>
      </w:r>
      <w:r w:rsidRPr="00DF1238">
        <w:rPr>
          <w:rFonts w:ascii="Verdana" w:eastAsia="Verdana" w:hAnsi="Verdana" w:cs="Times New Roman"/>
          <w:bCs/>
          <w:i/>
          <w:iCs/>
          <w:noProof/>
          <w:color w:val="00428B"/>
          <w:sz w:val="16"/>
          <w:szCs w:val="24"/>
          <w:lang w:eastAsia="fr-CA"/>
        </w:rPr>
        <w:t>5</w:t>
      </w:r>
      <w:r w:rsidRPr="00DF1238">
        <w:rPr>
          <w:rFonts w:ascii="Verdana" w:eastAsia="Verdana" w:hAnsi="Verdana" w:cs="Times New Roman"/>
          <w:bCs/>
          <w:i/>
          <w:iCs/>
          <w:color w:val="2B579A"/>
          <w:sz w:val="16"/>
          <w:szCs w:val="24"/>
          <w:shd w:val="clear" w:color="auto" w:fill="E6E6E6"/>
          <w:lang w:eastAsia="fr-CA"/>
        </w:rPr>
        <w:fldChar w:fldCharType="end"/>
      </w:r>
      <w:r w:rsidRPr="00DF1238">
        <w:rPr>
          <w:rFonts w:ascii="Verdana" w:eastAsia="Verdana" w:hAnsi="Verdana" w:cs="Times New Roman"/>
          <w:bCs/>
          <w:color w:val="00428B"/>
          <w:sz w:val="16"/>
          <w:szCs w:val="24"/>
          <w:lang w:eastAsia="fr-CA"/>
        </w:rPr>
        <w:t>.</w:t>
      </w:r>
      <w:r w:rsidRPr="00DF1238">
        <w:rPr>
          <w:rFonts w:ascii="Verdana" w:eastAsia="Verdana" w:hAnsi="Verdana" w:cs="Times New Roman"/>
          <w:bCs/>
          <w:i/>
          <w:iCs/>
          <w:color w:val="00428B"/>
          <w:sz w:val="16"/>
          <w:szCs w:val="24"/>
          <w:lang w:eastAsia="fr-CA"/>
        </w:rPr>
        <w:t xml:space="preserve"> Potential contribution of each scale of intervention in meeting the HWS targets for priority areas</w:t>
      </w:r>
    </w:p>
    <w:p w:rsidR="00DF1238" w:rsidRPr="00DF1238" w:rsidRDefault="00DF1238" w:rsidP="00DF1238">
      <w:pPr>
        <w:spacing w:after="0" w:line="320" w:lineRule="atLeast"/>
        <w:rPr>
          <w:rFonts w:ascii="Verdana" w:eastAsia="Times New Roman" w:hAnsi="Verdana" w:cs="Times New Roman"/>
          <w:color w:val="231F20"/>
          <w:sz w:val="18"/>
          <w:szCs w:val="24"/>
          <w:highlight w:val="yellow"/>
          <w:lang w:eastAsia="en-AU"/>
        </w:rPr>
      </w:pPr>
    </w:p>
    <w:p w:rsidR="00DF1238" w:rsidRPr="00DF1238" w:rsidRDefault="00DF1238" w:rsidP="00DF1238">
      <w:pPr>
        <w:keepNext/>
        <w:keepLines/>
        <w:spacing w:before="240" w:after="180" w:line="240" w:lineRule="auto"/>
        <w:outlineLvl w:val="2"/>
        <w:rPr>
          <w:rFonts w:ascii="Verdana" w:eastAsia="MS Gothic" w:hAnsi="Verdana" w:cs="Times New Roman"/>
          <w:b/>
          <w:bCs/>
          <w:color w:val="231F20"/>
          <w:sz w:val="18"/>
          <w:szCs w:val="24"/>
          <w:lang w:eastAsia="en-AU"/>
        </w:rPr>
      </w:pPr>
      <w:r w:rsidRPr="00DF1238">
        <w:rPr>
          <w:rFonts w:ascii="Verdana" w:eastAsia="MS Gothic" w:hAnsi="Verdana" w:cs="Times New Roman"/>
          <w:b/>
          <w:bCs/>
          <w:color w:val="231F20"/>
          <w:sz w:val="18"/>
          <w:szCs w:val="24"/>
          <w:lang w:eastAsia="en-AU"/>
        </w:rPr>
        <w:lastRenderedPageBreak/>
        <w:t xml:space="preserve">Case Study 1 – Metropolitan Melbourne (Kororoit Creek Lower Sub-catchment) </w:t>
      </w:r>
    </w:p>
    <w:p w:rsidR="00DF1238" w:rsidRPr="00DF1238" w:rsidRDefault="00DF1238" w:rsidP="00DF1238">
      <w:pPr>
        <w:tabs>
          <w:tab w:val="left" w:pos="2268"/>
          <w:tab w:val="left" w:pos="4536"/>
          <w:tab w:val="left" w:pos="6804"/>
          <w:tab w:val="right" w:pos="9638"/>
        </w:tabs>
        <w:spacing w:before="120" w:after="200" w:line="320" w:lineRule="atLeast"/>
        <w:rPr>
          <w:rFonts w:ascii="Verdana" w:eastAsia="Times New Roman" w:hAnsi="Verdana" w:cs="Times New Roman"/>
          <w:color w:val="231F20"/>
          <w:sz w:val="18"/>
          <w:szCs w:val="24"/>
          <w:lang w:eastAsia="en-AU"/>
        </w:rPr>
      </w:pPr>
      <w:r w:rsidRPr="00DF1238">
        <w:rPr>
          <w:rFonts w:ascii="Verdana" w:eastAsia="Times New Roman" w:hAnsi="Verdana" w:cs="Times New Roman"/>
          <w:noProof/>
          <w:color w:val="231F20"/>
          <w:sz w:val="18"/>
          <w:szCs w:val="24"/>
          <w:lang w:eastAsia="en-AU"/>
        </w:rPr>
        <w:drawing>
          <wp:inline distT="0" distB="0" distL="0" distR="0" wp14:anchorId="260A26FE" wp14:editId="6E86ADEB">
            <wp:extent cx="5379804" cy="2951121"/>
            <wp:effectExtent l="0" t="0" r="0" b="1905"/>
            <wp:docPr id="18" name="Graphic 9" title="Diagram showing a case study example using the MUSIC template and the corresponding stormwater targ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extLst>
                        <a:ext uri="{28A0092B-C50C-407E-A947-70E740481C1C}">
                          <a14:useLocalDpi xmlns:a14="http://schemas.microsoft.com/office/drawing/2010/main" val="0"/>
                        </a:ext>
                      </a:extLst>
                    </a:blip>
                    <a:srcRect t="5014" b="57009"/>
                    <a:stretch/>
                  </pic:blipFill>
                  <pic:spPr bwMode="auto">
                    <a:xfrm>
                      <a:off x="0" y="0"/>
                      <a:ext cx="5382912" cy="2952826"/>
                    </a:xfrm>
                    <a:prstGeom prst="rect">
                      <a:avLst/>
                    </a:prstGeom>
                    <a:ln>
                      <a:noFill/>
                    </a:ln>
                    <a:extLst>
                      <a:ext uri="{53640926-AAD7-44D8-BBD7-CCE9431645EC}">
                        <a14:shadowObscured xmlns:a14="http://schemas.microsoft.com/office/drawing/2010/main"/>
                      </a:ext>
                    </a:extLst>
                  </pic:spPr>
                </pic:pic>
              </a:graphicData>
            </a:graphic>
          </wp:inline>
        </w:drawing>
      </w:r>
    </w:p>
    <w:p w:rsidR="00DF1238" w:rsidRPr="00DF1238" w:rsidRDefault="00DF1238" w:rsidP="00DF1238">
      <w:pPr>
        <w:tabs>
          <w:tab w:val="left" w:pos="2268"/>
          <w:tab w:val="left" w:pos="4536"/>
          <w:tab w:val="left" w:pos="6804"/>
          <w:tab w:val="right" w:pos="9638"/>
        </w:tabs>
        <w:spacing w:before="120" w:after="200" w:line="320" w:lineRule="atLeast"/>
        <w:rPr>
          <w:rFonts w:ascii="Verdana" w:eastAsia="Times New Roman" w:hAnsi="Verdana" w:cs="Times New Roman"/>
          <w:color w:val="231F20"/>
          <w:sz w:val="18"/>
          <w:szCs w:val="24"/>
          <w:lang w:eastAsia="en-AU"/>
        </w:rPr>
      </w:pPr>
      <w:r w:rsidRPr="00DF1238">
        <w:rPr>
          <w:rFonts w:ascii="Verdana" w:eastAsia="Times New Roman" w:hAnsi="Verdana" w:cs="Times New Roman"/>
          <w:color w:val="231F20"/>
          <w:sz w:val="18"/>
          <w:szCs w:val="24"/>
          <w:lang w:eastAsia="en-AU"/>
        </w:rPr>
        <w:t xml:space="preserve">The case study illustrates how to determine targets. The example shown corresponds to an allotment or street scale but is applicable across multiple scales to allow flexibility for achieving the targets. </w:t>
      </w:r>
    </w:p>
    <w:p w:rsidR="00DF1238" w:rsidRPr="00DF1238" w:rsidRDefault="00DF1238" w:rsidP="00DF1238">
      <w:pPr>
        <w:tabs>
          <w:tab w:val="left" w:pos="2268"/>
          <w:tab w:val="left" w:pos="4536"/>
          <w:tab w:val="left" w:pos="6804"/>
          <w:tab w:val="right" w:pos="9638"/>
        </w:tabs>
        <w:spacing w:before="120" w:after="200" w:line="320" w:lineRule="atLeast"/>
        <w:rPr>
          <w:rFonts w:ascii="Verdana" w:eastAsia="Times New Roman" w:hAnsi="Verdana" w:cs="Times New Roman"/>
          <w:color w:val="231F20"/>
          <w:sz w:val="18"/>
          <w:szCs w:val="24"/>
          <w:lang w:eastAsia="en-AU"/>
        </w:rPr>
      </w:pPr>
      <w:r w:rsidRPr="00DF1238">
        <w:rPr>
          <w:rFonts w:ascii="Verdana" w:eastAsia="Times New Roman" w:hAnsi="Verdana" w:cs="Times New Roman"/>
          <w:color w:val="231F20"/>
          <w:sz w:val="18"/>
          <w:szCs w:val="24"/>
          <w:lang w:eastAsia="en-AU"/>
        </w:rPr>
        <w:t>Working through the targets for a 3.4 Ha allotment or street scale example below:</w:t>
      </w:r>
    </w:p>
    <w:p w:rsidR="00DF1238" w:rsidRPr="004C2EA6" w:rsidRDefault="00DF1238" w:rsidP="004C2EA6">
      <w:pPr>
        <w:pStyle w:val="ListParagraph"/>
        <w:numPr>
          <w:ilvl w:val="0"/>
          <w:numId w:val="12"/>
        </w:numPr>
        <w:spacing w:after="0" w:line="240" w:lineRule="auto"/>
        <w:ind w:left="709"/>
        <w:rPr>
          <w:rFonts w:ascii="Verdana" w:eastAsia="Times New Roman" w:hAnsi="Verdana" w:cs="Times New Roman"/>
          <w:sz w:val="18"/>
          <w:szCs w:val="18"/>
        </w:rPr>
      </w:pPr>
      <w:r w:rsidRPr="004C2EA6">
        <w:rPr>
          <w:rFonts w:ascii="Verdana" w:eastAsia="Times New Roman" w:hAnsi="Verdana" w:cs="Times New Roman"/>
          <w:sz w:val="18"/>
          <w:szCs w:val="18"/>
        </w:rPr>
        <w:t>3.4 Ha of developable area × 0.75 (impervious fraction) =2.55 impervious Ha</w:t>
      </w:r>
    </w:p>
    <w:p w:rsidR="00DF1238" w:rsidRPr="004C2EA6" w:rsidRDefault="00DF1238" w:rsidP="004C2EA6">
      <w:pPr>
        <w:pStyle w:val="ListParagraph"/>
        <w:numPr>
          <w:ilvl w:val="0"/>
          <w:numId w:val="12"/>
        </w:numPr>
        <w:spacing w:after="0" w:line="240" w:lineRule="auto"/>
        <w:ind w:left="709"/>
        <w:rPr>
          <w:rFonts w:ascii="Verdana" w:eastAsia="Times New Roman" w:hAnsi="Verdana" w:cs="Times New Roman"/>
          <w:sz w:val="18"/>
          <w:szCs w:val="18"/>
        </w:rPr>
      </w:pPr>
      <w:r w:rsidRPr="004C2EA6">
        <w:rPr>
          <w:rFonts w:ascii="Verdana" w:eastAsia="Times New Roman" w:hAnsi="Verdana" w:cs="Times New Roman"/>
          <w:sz w:val="18"/>
          <w:szCs w:val="18"/>
        </w:rPr>
        <w:t>Harvesting: 2.55 Impervious Ha x 3.4 ML/yr of runoff per impervious Ha = a harvesting target of 8.67 ML/yr</w:t>
      </w:r>
    </w:p>
    <w:p w:rsidR="00DF1238" w:rsidRPr="004C2EA6" w:rsidRDefault="00DF1238" w:rsidP="004C2EA6">
      <w:pPr>
        <w:pStyle w:val="ListParagraph"/>
        <w:numPr>
          <w:ilvl w:val="0"/>
          <w:numId w:val="12"/>
        </w:numPr>
        <w:spacing w:after="0" w:line="240" w:lineRule="auto"/>
        <w:ind w:left="709"/>
        <w:rPr>
          <w:rFonts w:ascii="Verdana" w:eastAsia="Times New Roman" w:hAnsi="Verdana" w:cs="Times New Roman"/>
          <w:sz w:val="18"/>
          <w:szCs w:val="18"/>
        </w:rPr>
      </w:pPr>
      <w:r w:rsidRPr="004C2EA6">
        <w:rPr>
          <w:rFonts w:ascii="Verdana" w:eastAsia="Times New Roman" w:hAnsi="Verdana" w:cs="Times New Roman"/>
          <w:sz w:val="18"/>
          <w:szCs w:val="18"/>
        </w:rPr>
        <w:t>Infiltration: 2.55 Impervious Ha x 0.4 ML/yr of runoff per impervious Ha = an infiltration target of 1.02 ML/yr.</w:t>
      </w:r>
    </w:p>
    <w:p w:rsidR="00DF1238" w:rsidRPr="00DF1238" w:rsidRDefault="00DF1238" w:rsidP="00DF1238">
      <w:pPr>
        <w:tabs>
          <w:tab w:val="left" w:pos="2268"/>
          <w:tab w:val="left" w:pos="4536"/>
          <w:tab w:val="left" w:pos="6804"/>
          <w:tab w:val="right" w:pos="9638"/>
        </w:tabs>
        <w:spacing w:before="120" w:after="200" w:line="320" w:lineRule="atLeast"/>
        <w:rPr>
          <w:rFonts w:ascii="Verdana" w:eastAsia="Times New Roman" w:hAnsi="Verdana" w:cs="Times New Roman"/>
          <w:color w:val="231F20"/>
          <w:sz w:val="18"/>
          <w:szCs w:val="24"/>
          <w:lang w:val="en-US" w:eastAsia="en-AU"/>
        </w:rPr>
      </w:pPr>
      <w:r w:rsidRPr="00DF1238">
        <w:rPr>
          <w:rFonts w:ascii="Verdana" w:eastAsia="Times New Roman" w:hAnsi="Verdana" w:cs="Times New Roman"/>
          <w:color w:val="231F20"/>
          <w:sz w:val="18"/>
          <w:szCs w:val="24"/>
          <w:lang w:eastAsia="en-AU"/>
        </w:rPr>
        <w:t xml:space="preserve">The targets can also be determined using </w:t>
      </w:r>
      <w:r w:rsidRPr="00DF1238">
        <w:rPr>
          <w:rFonts w:ascii="Verdana" w:eastAsia="Times New Roman" w:hAnsi="Verdana" w:cs="Times New Roman"/>
          <w:color w:val="231F20"/>
          <w:sz w:val="18"/>
          <w:szCs w:val="24"/>
          <w:lang w:val="en-US" w:eastAsia="en-AU"/>
        </w:rPr>
        <w:t xml:space="preserve">percentage of impervious runoff harvested and infiltrated as below: </w:t>
      </w:r>
    </w:p>
    <w:p w:rsidR="00DF1238" w:rsidRPr="004C2EA6" w:rsidRDefault="00DF1238" w:rsidP="004C2EA6">
      <w:pPr>
        <w:pStyle w:val="ListParagraph"/>
        <w:numPr>
          <w:ilvl w:val="0"/>
          <w:numId w:val="11"/>
        </w:numPr>
        <w:spacing w:line="240" w:lineRule="auto"/>
        <w:rPr>
          <w:rFonts w:ascii="Verdana" w:eastAsia="Times New Roman" w:hAnsi="Verdana" w:cs="Times New Roman"/>
          <w:sz w:val="18"/>
          <w:szCs w:val="18"/>
          <w:lang w:val="en-US"/>
        </w:rPr>
      </w:pPr>
      <w:r w:rsidRPr="004C2EA6">
        <w:rPr>
          <w:rFonts w:ascii="Verdana" w:eastAsia="Times New Roman" w:hAnsi="Verdana" w:cs="Times New Roman"/>
          <w:sz w:val="18"/>
          <w:szCs w:val="18"/>
          <w:lang w:val="en-US"/>
        </w:rPr>
        <w:t xml:space="preserve">Read the percentage of runoff from each Ha of impervious surface to be harvested and infiltrated. </w:t>
      </w:r>
    </w:p>
    <w:p w:rsidR="00DF1238" w:rsidRPr="004C2EA6" w:rsidRDefault="00DF1238" w:rsidP="004C2EA6">
      <w:pPr>
        <w:pStyle w:val="ListParagraph"/>
        <w:numPr>
          <w:ilvl w:val="0"/>
          <w:numId w:val="11"/>
        </w:numPr>
        <w:spacing w:line="240" w:lineRule="auto"/>
        <w:rPr>
          <w:rFonts w:ascii="Verdana" w:eastAsia="Times New Roman" w:hAnsi="Verdana" w:cs="Times New Roman"/>
          <w:sz w:val="18"/>
          <w:szCs w:val="18"/>
          <w:lang w:val="en-US"/>
        </w:rPr>
      </w:pPr>
      <w:r w:rsidRPr="004C2EA6">
        <w:rPr>
          <w:rFonts w:ascii="Verdana" w:eastAsia="Times New Roman" w:hAnsi="Verdana" w:cs="Times New Roman"/>
          <w:sz w:val="18"/>
          <w:szCs w:val="18"/>
          <w:lang w:val="en-US"/>
        </w:rPr>
        <w:t>Multiply Mean Annual Runoff by the harvesting and infiltration percentages to reach the target in ML/Ha of impervious surface/year:</w:t>
      </w:r>
    </w:p>
    <w:p w:rsidR="00DF1238" w:rsidRPr="00DF1238" w:rsidRDefault="00DF1238" w:rsidP="004C2EA6">
      <w:pPr>
        <w:numPr>
          <w:ilvl w:val="1"/>
          <w:numId w:val="11"/>
        </w:numPr>
        <w:spacing w:after="0" w:line="240" w:lineRule="auto"/>
        <w:rPr>
          <w:rFonts w:ascii="Verdana" w:eastAsia="Times New Roman" w:hAnsi="Verdana" w:cs="Times New Roman"/>
          <w:sz w:val="18"/>
          <w:szCs w:val="18"/>
          <w:lang w:val="en-US"/>
        </w:rPr>
      </w:pPr>
      <w:r w:rsidRPr="00DF1238">
        <w:rPr>
          <w:rFonts w:ascii="Verdana" w:eastAsia="Times New Roman" w:hAnsi="Verdana" w:cs="Times New Roman"/>
          <w:sz w:val="18"/>
          <w:szCs w:val="18"/>
          <w:lang w:val="en-US"/>
        </w:rPr>
        <w:t>Harvesting: 4.6 ML/ yr per impervious Ha x 0.74 = 3.4 ML/Ha of impervious surface/yr</w:t>
      </w:r>
    </w:p>
    <w:p w:rsidR="00DF1238" w:rsidRPr="00DF1238" w:rsidRDefault="00DF1238" w:rsidP="004C2EA6">
      <w:pPr>
        <w:numPr>
          <w:ilvl w:val="1"/>
          <w:numId w:val="11"/>
        </w:numPr>
        <w:spacing w:after="0" w:line="240" w:lineRule="auto"/>
        <w:rPr>
          <w:rFonts w:ascii="Verdana" w:eastAsia="Times New Roman" w:hAnsi="Verdana" w:cs="Times New Roman"/>
          <w:sz w:val="18"/>
          <w:szCs w:val="18"/>
          <w:lang w:val="en-US"/>
        </w:rPr>
      </w:pPr>
      <w:r w:rsidRPr="00DF1238">
        <w:rPr>
          <w:rFonts w:ascii="Verdana" w:eastAsia="Times New Roman" w:hAnsi="Verdana" w:cs="Times New Roman"/>
          <w:sz w:val="18"/>
          <w:szCs w:val="18"/>
          <w:lang w:val="en-US"/>
        </w:rPr>
        <w:t>Infiltration: 4.6 ML/yr per impervious Ha x 0.08 = 0.4 ML/Ha of impervious surface/yr</w:t>
      </w:r>
    </w:p>
    <w:p w:rsidR="00DF1238" w:rsidRPr="004C2EA6" w:rsidRDefault="00DF1238" w:rsidP="004C2EA6">
      <w:pPr>
        <w:pStyle w:val="bullets"/>
        <w:numPr>
          <w:ilvl w:val="0"/>
          <w:numId w:val="11"/>
        </w:numPr>
        <w:rPr>
          <w:lang w:val="en-US"/>
        </w:rPr>
      </w:pPr>
      <w:r w:rsidRPr="004C2EA6">
        <w:rPr>
          <w:lang w:val="en-US"/>
        </w:rPr>
        <w:t>Multiply this rate by the number of impervious hectares within the development to determine the ML/year to be harvested and infiltrated.</w:t>
      </w:r>
    </w:p>
    <w:p w:rsidR="00DF1238" w:rsidRPr="00DF1238" w:rsidRDefault="00DF1238" w:rsidP="004C2EA6">
      <w:pPr>
        <w:numPr>
          <w:ilvl w:val="1"/>
          <w:numId w:val="11"/>
        </w:numPr>
        <w:spacing w:after="0" w:line="240" w:lineRule="auto"/>
        <w:rPr>
          <w:rFonts w:ascii="Verdana" w:eastAsia="Times New Roman" w:hAnsi="Verdana" w:cs="Times New Roman"/>
          <w:sz w:val="18"/>
          <w:szCs w:val="18"/>
          <w:lang w:val="en-US"/>
        </w:rPr>
      </w:pPr>
      <w:r w:rsidRPr="00DF1238">
        <w:rPr>
          <w:rFonts w:ascii="Verdana" w:eastAsia="Times New Roman" w:hAnsi="Verdana" w:cs="Times New Roman"/>
          <w:sz w:val="18"/>
          <w:szCs w:val="18"/>
          <w:lang w:val="en-US"/>
        </w:rPr>
        <w:t xml:space="preserve">Harvesting: 3.4 ML/Ha of impervious surface/yr x 2.55 impervious Ha = 8.67 ML/yr </w:t>
      </w:r>
    </w:p>
    <w:p w:rsidR="00DF1238" w:rsidRPr="00DF1238" w:rsidRDefault="00DF1238" w:rsidP="004C2EA6">
      <w:pPr>
        <w:numPr>
          <w:ilvl w:val="1"/>
          <w:numId w:val="11"/>
        </w:numPr>
        <w:spacing w:after="0" w:line="240" w:lineRule="auto"/>
        <w:rPr>
          <w:rFonts w:ascii="Verdana" w:eastAsia="Times New Roman" w:hAnsi="Verdana" w:cs="Times New Roman"/>
          <w:sz w:val="18"/>
          <w:szCs w:val="18"/>
          <w:lang w:val="en-US"/>
        </w:rPr>
      </w:pPr>
      <w:r w:rsidRPr="00DF1238">
        <w:rPr>
          <w:rFonts w:ascii="Verdana" w:eastAsia="Times New Roman" w:hAnsi="Verdana" w:cs="Times New Roman"/>
          <w:sz w:val="18"/>
          <w:szCs w:val="18"/>
          <w:lang w:val="en-US"/>
        </w:rPr>
        <w:t>Infiltration: 0.4 ML/Ha of impervious surface/yr . 2.55 impervious Ha = 1.02 ML/yr.</w:t>
      </w:r>
    </w:p>
    <w:p w:rsidR="00DF1238" w:rsidRPr="00DF1238" w:rsidRDefault="00DF1238" w:rsidP="00DF1238">
      <w:pPr>
        <w:spacing w:line="240" w:lineRule="auto"/>
        <w:rPr>
          <w:rFonts w:ascii="Verdana" w:eastAsia="Times New Roman" w:hAnsi="Verdana" w:cs="Times New Roman"/>
          <w:sz w:val="18"/>
          <w:szCs w:val="18"/>
          <w:lang w:val="en-US"/>
        </w:rPr>
      </w:pPr>
    </w:p>
    <w:p w:rsidR="00DF1238" w:rsidRPr="00DF1238" w:rsidRDefault="00DF1238" w:rsidP="00DF1238">
      <w:pPr>
        <w:spacing w:line="240" w:lineRule="auto"/>
        <w:rPr>
          <w:rFonts w:ascii="Verdana" w:eastAsia="Times New Roman" w:hAnsi="Verdana" w:cs="Times New Roman"/>
          <w:sz w:val="18"/>
          <w:szCs w:val="18"/>
          <w:lang w:val="en-US"/>
        </w:rPr>
      </w:pPr>
      <w:r w:rsidRPr="00DF1238">
        <w:rPr>
          <w:rFonts w:ascii="Verdana" w:eastAsia="Times New Roman" w:hAnsi="Verdana" w:cs="Times New Roman"/>
          <w:sz w:val="18"/>
          <w:szCs w:val="18"/>
          <w:lang w:val="en-US"/>
        </w:rPr>
        <w:t>Note that as per the MUSIC Guidelines, 3.4 Ha of developable area of a standard allotment size incorporating standard density lot sizes of 300 m2  – 600m2 would have a typical value of 0.75 (impervious fraction = 75%).</w:t>
      </w:r>
    </w:p>
    <w:p w:rsidR="00DF1238" w:rsidRPr="00DF1238" w:rsidRDefault="00DF1238" w:rsidP="00DF1238">
      <w:pPr>
        <w:keepNext/>
        <w:keepLines/>
        <w:spacing w:before="360" w:after="120" w:line="240" w:lineRule="auto"/>
        <w:outlineLvl w:val="0"/>
        <w:rPr>
          <w:rFonts w:ascii="Verdana" w:eastAsia="MS Mincho" w:hAnsi="Verdana" w:cs="Times New Roman"/>
          <w:b/>
          <w:bCs/>
          <w:color w:val="00428B"/>
          <w:sz w:val="36"/>
          <w:szCs w:val="36"/>
          <w:lang w:eastAsia="en-AU"/>
        </w:rPr>
      </w:pPr>
      <w:r w:rsidRPr="00DF1238">
        <w:rPr>
          <w:rFonts w:ascii="Verdana" w:eastAsia="MS Mincho" w:hAnsi="Verdana" w:cs="Times New Roman"/>
          <w:b/>
          <w:bCs/>
          <w:color w:val="00428B"/>
          <w:sz w:val="18"/>
          <w:szCs w:val="36"/>
          <w:lang w:val="en-US" w:eastAsia="en-AU"/>
        </w:rPr>
        <w:lastRenderedPageBreak/>
        <w:t xml:space="preserve"> </w:t>
      </w:r>
      <w:r w:rsidRPr="00DF1238">
        <w:rPr>
          <w:rFonts w:ascii="Verdana" w:eastAsia="MS Mincho" w:hAnsi="Verdana" w:cs="Times New Roman"/>
          <w:b/>
          <w:bCs/>
          <w:color w:val="00428B"/>
          <w:sz w:val="36"/>
          <w:szCs w:val="36"/>
          <w:lang w:eastAsia="en-AU"/>
        </w:rPr>
        <w:t>Appendix A</w:t>
      </w:r>
    </w:p>
    <w:p w:rsidR="00DF1238" w:rsidRPr="00DF1238" w:rsidRDefault="00DF1238" w:rsidP="004C2EA6">
      <w:pPr>
        <w:tabs>
          <w:tab w:val="left" w:pos="2268"/>
          <w:tab w:val="left" w:pos="4536"/>
          <w:tab w:val="left" w:pos="6804"/>
          <w:tab w:val="right" w:pos="9638"/>
        </w:tabs>
        <w:spacing w:before="120" w:after="200" w:line="320" w:lineRule="atLeast"/>
        <w:rPr>
          <w:rFonts w:ascii="Verdana" w:eastAsia="Times New Roman" w:hAnsi="Verdana" w:cs="Times New Roman"/>
          <w:color w:val="231F20"/>
          <w:sz w:val="18"/>
          <w:szCs w:val="24"/>
          <w:lang w:val="en-US" w:eastAsia="en-AU"/>
        </w:rPr>
      </w:pPr>
      <w:r w:rsidRPr="00DF1238">
        <w:rPr>
          <w:rFonts w:ascii="Verdana" w:eastAsia="Times New Roman" w:hAnsi="Verdana" w:cs="Times New Roman"/>
          <w:color w:val="231F20"/>
          <w:sz w:val="18"/>
          <w:szCs w:val="24"/>
          <w:lang w:val="en-US" w:eastAsia="en-AU"/>
        </w:rPr>
        <w:t xml:space="preserve">To support the application of the EPA’s stormwater targets across Victoria, the following table can be used by practitioners who are working outside the rainfall bands outlined in </w:t>
      </w:r>
      <w:r w:rsidRPr="00DF1238">
        <w:rPr>
          <w:rFonts w:ascii="Verdana" w:eastAsia="Times New Roman" w:hAnsi="Verdana" w:cs="Times New Roman"/>
          <w:color w:val="231F20"/>
          <w:sz w:val="18"/>
          <w:szCs w:val="18"/>
          <w:lang w:val="en-US" w:eastAsia="en-AU"/>
        </w:rPr>
        <w:fldChar w:fldCharType="begin"/>
      </w:r>
      <w:r w:rsidRPr="00DF1238">
        <w:rPr>
          <w:rFonts w:ascii="Verdana" w:eastAsia="Times New Roman" w:hAnsi="Verdana" w:cs="Times New Roman"/>
          <w:color w:val="231F20"/>
          <w:sz w:val="18"/>
          <w:szCs w:val="18"/>
          <w:lang w:val="en-US" w:eastAsia="en-AU"/>
        </w:rPr>
        <w:instrText xml:space="preserve"> REF _Ref68703389 \h  \* MERGEFORMAT </w:instrText>
      </w:r>
      <w:r w:rsidRPr="00DF1238">
        <w:rPr>
          <w:rFonts w:ascii="Verdana" w:eastAsia="Times New Roman" w:hAnsi="Verdana" w:cs="Times New Roman"/>
          <w:color w:val="231F20"/>
          <w:sz w:val="18"/>
          <w:szCs w:val="18"/>
          <w:lang w:val="en-US" w:eastAsia="en-AU"/>
        </w:rPr>
      </w:r>
      <w:r w:rsidRPr="00DF1238">
        <w:rPr>
          <w:rFonts w:ascii="Verdana" w:eastAsia="Times New Roman" w:hAnsi="Verdana" w:cs="Times New Roman"/>
          <w:color w:val="231F20"/>
          <w:sz w:val="18"/>
          <w:szCs w:val="18"/>
          <w:lang w:val="en-US" w:eastAsia="en-AU"/>
        </w:rPr>
        <w:fldChar w:fldCharType="separate"/>
      </w:r>
      <w:r w:rsidRPr="00DF1238">
        <w:rPr>
          <w:rFonts w:ascii="Verdana" w:eastAsia="Verdana" w:hAnsi="Verdana" w:cs="Times New Roman"/>
          <w:iCs/>
          <w:color w:val="00428B"/>
          <w:sz w:val="18"/>
          <w:szCs w:val="18"/>
          <w:lang w:eastAsia="fr-CA"/>
        </w:rPr>
        <w:t xml:space="preserve">Figure </w:t>
      </w:r>
      <w:r w:rsidRPr="00DF1238">
        <w:rPr>
          <w:rFonts w:ascii="Verdana" w:eastAsia="Verdana" w:hAnsi="Verdana" w:cs="Times New Roman"/>
          <w:iCs/>
          <w:noProof/>
          <w:color w:val="00428B"/>
          <w:sz w:val="18"/>
          <w:szCs w:val="18"/>
          <w:lang w:eastAsia="fr-CA"/>
        </w:rPr>
        <w:t>3</w:t>
      </w:r>
      <w:r w:rsidRPr="00DF1238">
        <w:rPr>
          <w:rFonts w:ascii="Verdana" w:eastAsia="Times New Roman" w:hAnsi="Verdana" w:cs="Times New Roman"/>
          <w:color w:val="231F20"/>
          <w:sz w:val="18"/>
          <w:szCs w:val="18"/>
          <w:lang w:val="en-US" w:eastAsia="en-AU"/>
        </w:rPr>
        <w:fldChar w:fldCharType="end"/>
      </w:r>
      <w:r w:rsidRPr="00DF1238">
        <w:rPr>
          <w:rFonts w:ascii="Verdana" w:eastAsia="Times New Roman" w:hAnsi="Verdana" w:cs="Times New Roman"/>
          <w:color w:val="231F20"/>
          <w:sz w:val="18"/>
          <w:szCs w:val="24"/>
          <w:lang w:val="en-US" w:eastAsia="en-AU"/>
        </w:rPr>
        <w:t xml:space="preserve"> of the main document. The table:</w:t>
      </w:r>
    </w:p>
    <w:p w:rsidR="00DF1238" w:rsidRPr="004C2EA6" w:rsidRDefault="00DF1238" w:rsidP="00E66852">
      <w:pPr>
        <w:pStyle w:val="ListParagraph"/>
        <w:numPr>
          <w:ilvl w:val="0"/>
          <w:numId w:val="8"/>
        </w:numPr>
        <w:spacing w:after="0" w:line="320" w:lineRule="atLeast"/>
        <w:contextualSpacing w:val="0"/>
        <w:rPr>
          <w:rFonts w:ascii="Verdana" w:eastAsia="Times New Roman" w:hAnsi="Verdana" w:cs="Times New Roman"/>
          <w:sz w:val="18"/>
          <w:szCs w:val="18"/>
          <w:lang w:val="en-US"/>
        </w:rPr>
      </w:pPr>
      <w:r w:rsidRPr="004C2EA6">
        <w:rPr>
          <w:rFonts w:ascii="Verdana" w:eastAsia="Times New Roman" w:hAnsi="Verdana" w:cs="Times New Roman"/>
          <w:sz w:val="18"/>
          <w:szCs w:val="18"/>
          <w:lang w:val="en-US"/>
        </w:rPr>
        <w:t>Includes 100mm interval rainfall bands and runoff from 1 Ha of impervious surfaces in an average rainfall year</w:t>
      </w:r>
    </w:p>
    <w:p w:rsidR="00DF1238" w:rsidRPr="004C2EA6" w:rsidRDefault="00DF1238" w:rsidP="00E66852">
      <w:pPr>
        <w:pStyle w:val="ListParagraph"/>
        <w:numPr>
          <w:ilvl w:val="0"/>
          <w:numId w:val="8"/>
        </w:numPr>
        <w:spacing w:after="0" w:line="320" w:lineRule="atLeast"/>
        <w:contextualSpacing w:val="0"/>
        <w:rPr>
          <w:rFonts w:ascii="Verdana" w:eastAsia="Times New Roman" w:hAnsi="Verdana" w:cs="Times New Roman"/>
          <w:sz w:val="18"/>
          <w:szCs w:val="18"/>
          <w:lang w:val="en-US"/>
        </w:rPr>
      </w:pPr>
      <w:r w:rsidRPr="004C2EA6">
        <w:rPr>
          <w:rFonts w:ascii="Verdana" w:eastAsia="Times New Roman" w:hAnsi="Verdana" w:cs="Times New Roman"/>
          <w:sz w:val="18"/>
          <w:szCs w:val="18"/>
          <w:lang w:val="en-US"/>
        </w:rPr>
        <w:t>EPA priority area stormwater harvesting targets that are equivalent to the HWS stormwater harvesting targets</w:t>
      </w:r>
    </w:p>
    <w:p w:rsidR="00DF1238" w:rsidRPr="004C2EA6" w:rsidRDefault="00DF1238" w:rsidP="00E66852">
      <w:pPr>
        <w:pStyle w:val="ListParagraph"/>
        <w:numPr>
          <w:ilvl w:val="0"/>
          <w:numId w:val="8"/>
        </w:numPr>
        <w:spacing w:after="0" w:line="320" w:lineRule="atLeast"/>
        <w:contextualSpacing w:val="0"/>
        <w:rPr>
          <w:rFonts w:ascii="Verdana" w:eastAsia="Times New Roman" w:hAnsi="Verdana" w:cs="Times New Roman"/>
          <w:sz w:val="18"/>
          <w:szCs w:val="18"/>
          <w:lang w:val="en-US"/>
        </w:rPr>
      </w:pPr>
      <w:r w:rsidRPr="004C2EA6">
        <w:rPr>
          <w:rFonts w:ascii="Verdana" w:eastAsia="Times New Roman" w:hAnsi="Verdana" w:cs="Times New Roman"/>
          <w:sz w:val="18"/>
          <w:szCs w:val="18"/>
          <w:lang w:val="en-US"/>
        </w:rPr>
        <w:t xml:space="preserve">EPA priority area infiltration targets that are equivalent to reading off the bottom of the ‘Walsh curve’ shown in </w:t>
      </w:r>
      <w:r w:rsidRPr="004C2EA6">
        <w:rPr>
          <w:rFonts w:ascii="Verdana" w:eastAsia="Times New Roman" w:hAnsi="Verdana" w:cs="Times New Roman"/>
          <w:sz w:val="18"/>
          <w:szCs w:val="18"/>
          <w:lang w:val="en-US"/>
        </w:rPr>
        <w:fldChar w:fldCharType="begin"/>
      </w:r>
      <w:r w:rsidRPr="004C2EA6">
        <w:rPr>
          <w:rFonts w:ascii="Verdana" w:eastAsia="Times New Roman" w:hAnsi="Verdana" w:cs="Times New Roman"/>
          <w:sz w:val="18"/>
          <w:szCs w:val="18"/>
          <w:lang w:val="en-US"/>
        </w:rPr>
        <w:instrText xml:space="preserve"> REF _Ref68163256 \h  \* MERGEFORMAT </w:instrText>
      </w:r>
      <w:r w:rsidRPr="004C2EA6">
        <w:rPr>
          <w:rFonts w:ascii="Verdana" w:eastAsia="Times New Roman" w:hAnsi="Verdana" w:cs="Times New Roman"/>
          <w:sz w:val="18"/>
          <w:szCs w:val="18"/>
          <w:lang w:val="en-US"/>
        </w:rPr>
      </w:r>
      <w:r w:rsidRPr="004C2EA6">
        <w:rPr>
          <w:rFonts w:ascii="Verdana" w:eastAsia="Times New Roman" w:hAnsi="Verdana" w:cs="Times New Roman"/>
          <w:sz w:val="18"/>
          <w:szCs w:val="18"/>
          <w:lang w:val="en-US"/>
        </w:rPr>
        <w:fldChar w:fldCharType="separate"/>
      </w:r>
      <w:r w:rsidRPr="004C2EA6">
        <w:rPr>
          <w:rFonts w:ascii="Verdana" w:eastAsia="MS Mincho" w:hAnsi="Verdana" w:cs="Times New Roman"/>
          <w:color w:val="00428B"/>
          <w:sz w:val="18"/>
          <w:szCs w:val="18"/>
          <w:lang w:eastAsia="fr-CA"/>
        </w:rPr>
        <w:t xml:space="preserve">Figure </w:t>
      </w:r>
      <w:r w:rsidRPr="004C2EA6">
        <w:rPr>
          <w:rFonts w:ascii="Verdana" w:eastAsia="MS Mincho" w:hAnsi="Verdana" w:cs="Times New Roman"/>
          <w:noProof/>
          <w:color w:val="00428B"/>
          <w:sz w:val="18"/>
          <w:szCs w:val="18"/>
          <w:lang w:eastAsia="fr-CA"/>
        </w:rPr>
        <w:t>1</w:t>
      </w:r>
      <w:r w:rsidRPr="004C2EA6">
        <w:rPr>
          <w:rFonts w:ascii="Verdana" w:eastAsia="Times New Roman" w:hAnsi="Verdana" w:cs="Times New Roman"/>
          <w:sz w:val="18"/>
          <w:szCs w:val="18"/>
          <w:lang w:val="en-US"/>
        </w:rPr>
        <w:fldChar w:fldCharType="end"/>
      </w:r>
      <w:r w:rsidRPr="004C2EA6">
        <w:rPr>
          <w:rFonts w:ascii="Verdana" w:eastAsia="Times New Roman" w:hAnsi="Verdana" w:cs="Times New Roman"/>
          <w:sz w:val="18"/>
          <w:szCs w:val="18"/>
          <w:lang w:val="en-US"/>
        </w:rPr>
        <w:t xml:space="preserve"> of the main document </w:t>
      </w:r>
    </w:p>
    <w:p w:rsidR="00DF1238" w:rsidRPr="004C2EA6" w:rsidRDefault="00DF1238" w:rsidP="00E66852">
      <w:pPr>
        <w:pStyle w:val="ListParagraph"/>
        <w:numPr>
          <w:ilvl w:val="0"/>
          <w:numId w:val="8"/>
        </w:numPr>
        <w:spacing w:after="0" w:line="320" w:lineRule="atLeast"/>
        <w:contextualSpacing w:val="0"/>
        <w:rPr>
          <w:rFonts w:ascii="Verdana" w:eastAsia="Times New Roman" w:hAnsi="Verdana" w:cs="Times New Roman"/>
          <w:sz w:val="18"/>
          <w:szCs w:val="18"/>
          <w:lang w:val="en-US"/>
        </w:rPr>
      </w:pPr>
      <w:r w:rsidRPr="004C2EA6">
        <w:rPr>
          <w:rFonts w:ascii="Verdana" w:eastAsia="Times New Roman" w:hAnsi="Verdana" w:cs="Times New Roman"/>
          <w:sz w:val="18"/>
          <w:szCs w:val="18"/>
          <w:lang w:val="en-US"/>
        </w:rPr>
        <w:t>EPA stormwater harvesting targets for other areas that are 40% of the target for priority areas</w:t>
      </w:r>
      <w:r w:rsidR="00E66852">
        <w:rPr>
          <w:rFonts w:ascii="Verdana" w:eastAsia="Times New Roman" w:hAnsi="Verdana" w:cs="Times New Roman"/>
          <w:sz w:val="18"/>
          <w:szCs w:val="18"/>
          <w:lang w:val="en-US"/>
        </w:rPr>
        <w:t>.</w:t>
      </w:r>
    </w:p>
    <w:p w:rsidR="00DF1238" w:rsidRPr="004C2EA6" w:rsidRDefault="00DF1238" w:rsidP="00E66852">
      <w:pPr>
        <w:pStyle w:val="ListParagraph"/>
        <w:numPr>
          <w:ilvl w:val="0"/>
          <w:numId w:val="8"/>
        </w:numPr>
        <w:spacing w:after="0" w:line="320" w:lineRule="atLeast"/>
        <w:contextualSpacing w:val="0"/>
        <w:rPr>
          <w:rFonts w:ascii="Verdana" w:eastAsia="Times New Roman" w:hAnsi="Verdana" w:cs="Times New Roman"/>
          <w:sz w:val="18"/>
          <w:szCs w:val="18"/>
          <w:lang w:val="en-US"/>
        </w:rPr>
      </w:pPr>
      <w:r w:rsidRPr="004C2EA6">
        <w:rPr>
          <w:rFonts w:ascii="Verdana" w:eastAsia="Times New Roman" w:hAnsi="Verdana" w:cs="Times New Roman"/>
          <w:sz w:val="18"/>
          <w:szCs w:val="18"/>
          <w:lang w:val="en-US"/>
        </w:rPr>
        <w:t>EPA infiltration targets for other areas that are 80% of the target for priority areas</w:t>
      </w:r>
    </w:p>
    <w:p w:rsidR="00DF1238" w:rsidRPr="00DF1238" w:rsidRDefault="00DF1238" w:rsidP="00E66852">
      <w:pPr>
        <w:spacing w:after="240" w:line="320" w:lineRule="atLeast"/>
        <w:rPr>
          <w:rFonts w:ascii="Verdana" w:eastAsia="Times New Roman" w:hAnsi="Verdana" w:cs="Times New Roman"/>
          <w:color w:val="231F20"/>
          <w:sz w:val="18"/>
          <w:szCs w:val="24"/>
          <w:lang w:val="en-US" w:eastAsia="en-AU"/>
        </w:rPr>
      </w:pPr>
      <w:r w:rsidRPr="00DF1238">
        <w:rPr>
          <w:rFonts w:ascii="Verdana" w:eastAsia="Times New Roman" w:hAnsi="Verdana" w:cs="Times New Roman"/>
          <w:color w:val="231F20"/>
          <w:sz w:val="18"/>
          <w:szCs w:val="24"/>
          <w:lang w:val="en-US" w:eastAsia="en-AU"/>
        </w:rPr>
        <w:t>The steps in using the table are:</w:t>
      </w:r>
    </w:p>
    <w:p w:rsidR="00DF1238" w:rsidRPr="004C2EA6" w:rsidRDefault="00DF1238" w:rsidP="00E66852">
      <w:pPr>
        <w:pStyle w:val="ListParagraph"/>
        <w:numPr>
          <w:ilvl w:val="0"/>
          <w:numId w:val="9"/>
        </w:numPr>
        <w:spacing w:after="0" w:line="320" w:lineRule="atLeast"/>
        <w:contextualSpacing w:val="0"/>
        <w:rPr>
          <w:rFonts w:ascii="Verdana" w:eastAsia="Times New Roman" w:hAnsi="Verdana" w:cs="Times New Roman"/>
          <w:sz w:val="18"/>
          <w:szCs w:val="18"/>
          <w:lang w:val="en-US"/>
        </w:rPr>
      </w:pPr>
      <w:r w:rsidRPr="004C2EA6">
        <w:rPr>
          <w:rFonts w:ascii="Verdana" w:eastAsia="Times New Roman" w:hAnsi="Verdana" w:cs="Times New Roman"/>
          <w:sz w:val="18"/>
          <w:szCs w:val="18"/>
          <w:lang w:val="en-US"/>
        </w:rPr>
        <w:t>Locate the appropriate rainfall band for the given location to the nearest 100mm</w:t>
      </w:r>
    </w:p>
    <w:p w:rsidR="00DF1238" w:rsidRPr="004C2EA6" w:rsidRDefault="00DF1238" w:rsidP="00E66852">
      <w:pPr>
        <w:pStyle w:val="ListParagraph"/>
        <w:numPr>
          <w:ilvl w:val="0"/>
          <w:numId w:val="9"/>
        </w:numPr>
        <w:spacing w:after="0" w:line="320" w:lineRule="atLeast"/>
        <w:contextualSpacing w:val="0"/>
        <w:rPr>
          <w:rFonts w:ascii="Verdana" w:eastAsia="Times New Roman" w:hAnsi="Verdana" w:cs="Times New Roman"/>
          <w:sz w:val="18"/>
          <w:szCs w:val="18"/>
          <w:lang w:val="en-US"/>
        </w:rPr>
      </w:pPr>
      <w:r w:rsidRPr="004C2EA6">
        <w:rPr>
          <w:rFonts w:ascii="Verdana" w:eastAsia="Times New Roman" w:hAnsi="Verdana" w:cs="Times New Roman"/>
          <w:sz w:val="18"/>
          <w:szCs w:val="18"/>
          <w:lang w:val="en-US"/>
        </w:rPr>
        <w:t xml:space="preserve">Note the Mean Annual Runoff from each Ha of impervious surface </w:t>
      </w:r>
    </w:p>
    <w:p w:rsidR="00DF1238" w:rsidRPr="004C2EA6" w:rsidRDefault="00DF1238" w:rsidP="00E66852">
      <w:pPr>
        <w:pStyle w:val="ListParagraph"/>
        <w:numPr>
          <w:ilvl w:val="0"/>
          <w:numId w:val="9"/>
        </w:numPr>
        <w:spacing w:after="0" w:line="320" w:lineRule="atLeast"/>
        <w:contextualSpacing w:val="0"/>
        <w:rPr>
          <w:rFonts w:ascii="Verdana" w:eastAsia="Times New Roman" w:hAnsi="Verdana" w:cs="Times New Roman"/>
          <w:sz w:val="18"/>
          <w:szCs w:val="18"/>
          <w:lang w:val="en-US"/>
        </w:rPr>
      </w:pPr>
      <w:r w:rsidRPr="004C2EA6">
        <w:rPr>
          <w:rFonts w:ascii="Verdana" w:eastAsia="Times New Roman" w:hAnsi="Verdana" w:cs="Times New Roman"/>
          <w:sz w:val="18"/>
          <w:szCs w:val="18"/>
          <w:lang w:val="en-US"/>
        </w:rPr>
        <w:t xml:space="preserve">Read the percentage of runoff from each Ha of impervious surface to be harvested and infiltrated for priority and other areas </w:t>
      </w:r>
    </w:p>
    <w:p w:rsidR="00DF1238" w:rsidRPr="004C2EA6" w:rsidRDefault="00DF1238" w:rsidP="00E66852">
      <w:pPr>
        <w:pStyle w:val="ListParagraph"/>
        <w:numPr>
          <w:ilvl w:val="0"/>
          <w:numId w:val="9"/>
        </w:numPr>
        <w:spacing w:after="0" w:line="320" w:lineRule="atLeast"/>
        <w:contextualSpacing w:val="0"/>
        <w:rPr>
          <w:rFonts w:ascii="Verdana" w:eastAsia="Times New Roman" w:hAnsi="Verdana" w:cs="Times New Roman"/>
          <w:sz w:val="18"/>
          <w:szCs w:val="18"/>
          <w:lang w:val="en-US"/>
        </w:rPr>
      </w:pPr>
      <w:r w:rsidRPr="004C2EA6">
        <w:rPr>
          <w:rFonts w:ascii="Verdana" w:eastAsia="Times New Roman" w:hAnsi="Verdana" w:cs="Times New Roman"/>
          <w:sz w:val="18"/>
          <w:szCs w:val="18"/>
          <w:lang w:val="en-US"/>
        </w:rPr>
        <w:t>Multiply Mean Annual Runoff by the harvesting and infiltration percentages to reach the target in ML/Ha of impervious surface/year</w:t>
      </w:r>
    </w:p>
    <w:p w:rsidR="00DF1238" w:rsidRPr="004C2EA6" w:rsidRDefault="00DF1238" w:rsidP="00E66852">
      <w:pPr>
        <w:pStyle w:val="ListParagraph"/>
        <w:numPr>
          <w:ilvl w:val="0"/>
          <w:numId w:val="9"/>
        </w:numPr>
        <w:spacing w:after="0" w:line="320" w:lineRule="atLeast"/>
        <w:contextualSpacing w:val="0"/>
        <w:rPr>
          <w:rFonts w:ascii="Verdana" w:eastAsia="Times New Roman" w:hAnsi="Verdana" w:cs="Times New Roman"/>
          <w:sz w:val="18"/>
          <w:szCs w:val="18"/>
          <w:lang w:val="en-US"/>
        </w:rPr>
      </w:pPr>
      <w:r w:rsidRPr="004C2EA6">
        <w:rPr>
          <w:rFonts w:ascii="Verdana" w:eastAsia="Times New Roman" w:hAnsi="Verdana" w:cs="Times New Roman"/>
          <w:sz w:val="18"/>
          <w:szCs w:val="18"/>
          <w:lang w:val="en-US"/>
        </w:rPr>
        <w:t>Multiply this rate by the number of impervious hectares within the development to determine the ML/year to be harvested and infiltrated.</w:t>
      </w:r>
    </w:p>
    <w:p w:rsidR="00E66852" w:rsidRDefault="00E66852" w:rsidP="00E66852">
      <w:pPr>
        <w:spacing w:line="320" w:lineRule="atLeast"/>
        <w:rPr>
          <w:rFonts w:ascii="Verdana" w:eastAsia="Times New Roman" w:hAnsi="Verdana" w:cs="Times New Roman"/>
          <w:color w:val="231F20"/>
          <w:sz w:val="18"/>
          <w:szCs w:val="24"/>
          <w:lang w:val="en-US" w:eastAsia="en-AU"/>
        </w:rPr>
      </w:pPr>
    </w:p>
    <w:p w:rsidR="00DF1238" w:rsidRPr="00DF1238" w:rsidRDefault="00DF1238" w:rsidP="00E66852">
      <w:pPr>
        <w:spacing w:line="320" w:lineRule="atLeast"/>
        <w:rPr>
          <w:rFonts w:ascii="Verdana" w:eastAsia="Times New Roman" w:hAnsi="Verdana" w:cs="Times New Roman"/>
          <w:color w:val="231F20"/>
          <w:sz w:val="18"/>
          <w:szCs w:val="24"/>
          <w:lang w:val="en-US" w:eastAsia="en-AU"/>
        </w:rPr>
      </w:pPr>
      <w:r w:rsidRPr="00DF1238">
        <w:rPr>
          <w:rFonts w:ascii="Verdana" w:eastAsia="Times New Roman" w:hAnsi="Verdana" w:cs="Times New Roman"/>
          <w:color w:val="231F20"/>
          <w:sz w:val="18"/>
          <w:szCs w:val="24"/>
          <w:lang w:val="en-US" w:eastAsia="en-AU"/>
        </w:rPr>
        <w:t xml:space="preserve">Practitioners outside Melbourne Water’s operating area should refer to their council or water authority to confirm their applicable rainfall band. If this information is unavailable, practitioners can refer to the Bureau of Meteorology average annual rainfall map for Victoria. </w:t>
      </w:r>
    </w:p>
    <w:p w:rsidR="00DF1238" w:rsidRPr="00DF1238" w:rsidRDefault="00DF1238" w:rsidP="00E66852">
      <w:pPr>
        <w:spacing w:line="320" w:lineRule="atLeast"/>
        <w:rPr>
          <w:rFonts w:ascii="Verdana" w:eastAsia="Times New Roman" w:hAnsi="Verdana" w:cs="Times New Roman"/>
          <w:sz w:val="18"/>
          <w:szCs w:val="18"/>
          <w:lang w:val="en-US"/>
        </w:rPr>
      </w:pPr>
      <w:r w:rsidRPr="00DF1238">
        <w:rPr>
          <w:rFonts w:ascii="Verdana" w:eastAsia="Times New Roman" w:hAnsi="Verdana" w:cs="Times New Roman"/>
          <w:color w:val="231F20"/>
          <w:sz w:val="18"/>
          <w:szCs w:val="24"/>
          <w:lang w:val="en-US" w:eastAsia="en-AU"/>
        </w:rPr>
        <w:t xml:space="preserve">Note that practitioners should refer to the Figure 1 curves to ensure they are not exceeding the maximum amounts for harvesting and infiltration. This avoids any negative impact from over-harvesting or over-infiltration. For the very low rainfall bands, where the infiltration objective is 0%, and the curve is unclear, up to 5% would be acceptable.   </w:t>
      </w:r>
    </w:p>
    <w:p w:rsidR="00DF1238" w:rsidRPr="00DF1238" w:rsidRDefault="00DF1238" w:rsidP="00DF1238">
      <w:pPr>
        <w:spacing w:line="240" w:lineRule="auto"/>
        <w:ind w:left="720" w:hanging="360"/>
        <w:rPr>
          <w:rFonts w:ascii="Verdana" w:eastAsia="Times New Roman" w:hAnsi="Verdana" w:cs="Times New Roman"/>
          <w:sz w:val="18"/>
          <w:szCs w:val="18"/>
          <w:lang w:val="en-US"/>
        </w:rPr>
      </w:pPr>
    </w:p>
    <w:p w:rsidR="00DF1238" w:rsidRPr="00DF1238" w:rsidRDefault="00DF1238" w:rsidP="00DF1238">
      <w:pPr>
        <w:spacing w:line="240" w:lineRule="auto"/>
        <w:ind w:left="720" w:hanging="360"/>
        <w:rPr>
          <w:rFonts w:ascii="Verdana" w:eastAsia="Times New Roman" w:hAnsi="Verdana" w:cs="Times New Roman"/>
          <w:sz w:val="18"/>
          <w:szCs w:val="18"/>
          <w:lang w:val="en-US"/>
        </w:rPr>
      </w:pPr>
    </w:p>
    <w:p w:rsidR="00DF1238" w:rsidRPr="00DF1238" w:rsidRDefault="00DF1238" w:rsidP="00DF1238">
      <w:pPr>
        <w:spacing w:line="240" w:lineRule="auto"/>
        <w:ind w:left="720" w:hanging="360"/>
        <w:rPr>
          <w:rFonts w:ascii="Verdana" w:eastAsia="Times New Roman" w:hAnsi="Verdana" w:cs="Times New Roman"/>
          <w:sz w:val="18"/>
          <w:szCs w:val="18"/>
          <w:lang w:val="en-US"/>
        </w:rPr>
      </w:pPr>
    </w:p>
    <w:p w:rsidR="00DF1238" w:rsidRPr="00DF1238" w:rsidRDefault="00DF1238" w:rsidP="00DF1238">
      <w:pPr>
        <w:spacing w:line="240" w:lineRule="auto"/>
        <w:ind w:left="720" w:hanging="360"/>
        <w:rPr>
          <w:rFonts w:ascii="Verdana" w:eastAsia="Times New Roman" w:hAnsi="Verdana" w:cs="Times New Roman"/>
          <w:sz w:val="18"/>
          <w:szCs w:val="18"/>
          <w:lang w:val="en-US"/>
        </w:rPr>
      </w:pPr>
    </w:p>
    <w:p w:rsidR="00DF1238" w:rsidRPr="00DF1238" w:rsidRDefault="00DF1238" w:rsidP="00DF1238">
      <w:pPr>
        <w:spacing w:line="240" w:lineRule="auto"/>
        <w:ind w:left="720" w:hanging="360"/>
        <w:rPr>
          <w:rFonts w:ascii="Verdana" w:eastAsia="Times New Roman" w:hAnsi="Verdana" w:cs="Times New Roman"/>
          <w:sz w:val="18"/>
          <w:szCs w:val="18"/>
          <w:lang w:val="en-US"/>
        </w:rPr>
      </w:pPr>
    </w:p>
    <w:p w:rsidR="00DF1238" w:rsidRPr="00DF1238" w:rsidRDefault="00DF1238" w:rsidP="00DF1238">
      <w:pPr>
        <w:spacing w:line="240" w:lineRule="auto"/>
        <w:ind w:left="720" w:hanging="360"/>
        <w:rPr>
          <w:rFonts w:ascii="Verdana" w:eastAsia="Times New Roman" w:hAnsi="Verdana" w:cs="Times New Roman"/>
          <w:sz w:val="18"/>
          <w:szCs w:val="18"/>
          <w:lang w:val="en-US"/>
        </w:rPr>
      </w:pPr>
    </w:p>
    <w:p w:rsidR="00DF1238" w:rsidRPr="00DF1238" w:rsidRDefault="00DF1238" w:rsidP="00DF1238">
      <w:pPr>
        <w:spacing w:line="240" w:lineRule="auto"/>
        <w:ind w:left="720" w:hanging="360"/>
        <w:rPr>
          <w:rFonts w:ascii="Verdana" w:eastAsia="Times New Roman" w:hAnsi="Verdana" w:cs="Times New Roman"/>
          <w:sz w:val="18"/>
          <w:szCs w:val="18"/>
          <w:lang w:val="en-US"/>
        </w:rPr>
      </w:pPr>
    </w:p>
    <w:p w:rsidR="00DF1238" w:rsidRPr="00DF1238" w:rsidRDefault="00DF1238" w:rsidP="00DF1238">
      <w:pPr>
        <w:spacing w:line="240" w:lineRule="auto"/>
        <w:ind w:left="720" w:hanging="360"/>
        <w:rPr>
          <w:rFonts w:ascii="Verdana" w:eastAsia="Times New Roman" w:hAnsi="Verdana" w:cs="Times New Roman"/>
          <w:sz w:val="18"/>
          <w:szCs w:val="18"/>
          <w:lang w:val="en-US"/>
        </w:rPr>
      </w:pPr>
    </w:p>
    <w:p w:rsidR="00DF1238" w:rsidRPr="00DF1238" w:rsidRDefault="00DF1238" w:rsidP="00DF1238">
      <w:pPr>
        <w:spacing w:line="240" w:lineRule="auto"/>
        <w:rPr>
          <w:rFonts w:ascii="Verdana" w:eastAsia="Times New Roman" w:hAnsi="Verdana" w:cs="Times New Roman"/>
          <w:sz w:val="18"/>
          <w:szCs w:val="18"/>
          <w:lang w:val="en-US"/>
        </w:rPr>
      </w:pPr>
    </w:p>
    <w:tbl>
      <w:tblPr>
        <w:tblW w:w="9244" w:type="dxa"/>
        <w:jc w:val="center"/>
        <w:tblCellMar>
          <w:left w:w="0" w:type="dxa"/>
          <w:right w:w="0" w:type="dxa"/>
        </w:tblCellMar>
        <w:tblLook w:val="0600" w:firstRow="0" w:lastRow="0" w:firstColumn="0" w:lastColumn="0" w:noHBand="1" w:noVBand="1"/>
      </w:tblPr>
      <w:tblGrid>
        <w:gridCol w:w="1498"/>
        <w:gridCol w:w="1546"/>
        <w:gridCol w:w="1829"/>
        <w:gridCol w:w="1269"/>
        <w:gridCol w:w="1829"/>
        <w:gridCol w:w="1273"/>
      </w:tblGrid>
      <w:tr w:rsidR="00DF1238" w:rsidRPr="00DF1238" w:rsidTr="00770881">
        <w:trPr>
          <w:trHeight w:val="19"/>
          <w:jc w:val="center"/>
        </w:trPr>
        <w:tc>
          <w:tcPr>
            <w:tcW w:w="1498" w:type="dxa"/>
            <w:vMerge w:val="restart"/>
            <w:tcBorders>
              <w:top w:val="single" w:sz="8" w:space="0" w:color="000000"/>
              <w:left w:val="single" w:sz="8" w:space="0" w:color="000000"/>
              <w:bottom w:val="single" w:sz="4" w:space="0" w:color="F2F2F2"/>
              <w:right w:val="nil"/>
            </w:tcBorders>
            <w:shd w:val="clear" w:color="auto" w:fill="88D9FF"/>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b/>
                <w:bCs/>
                <w:noProof/>
                <w:color w:val="231F20"/>
                <w:sz w:val="18"/>
                <w:szCs w:val="24"/>
                <w:lang w:eastAsia="en-AU"/>
              </w:rPr>
              <w:t>Rainfall band</w:t>
            </w:r>
            <w:r w:rsidRPr="00DF1238">
              <w:rPr>
                <w:rFonts w:ascii="Verdana" w:eastAsia="Times New Roman" w:hAnsi="Verdana" w:cs="Times New Roman"/>
                <w:b/>
                <w:bCs/>
                <w:noProof/>
                <w:color w:val="231F20"/>
                <w:sz w:val="18"/>
                <w:szCs w:val="24"/>
                <w:lang w:eastAsia="en-AU"/>
              </w:rPr>
              <w:br/>
              <w:t>(average annual rainfall) (mm/year)</w:t>
            </w:r>
          </w:p>
        </w:tc>
        <w:tc>
          <w:tcPr>
            <w:tcW w:w="1546" w:type="dxa"/>
            <w:vMerge w:val="restart"/>
            <w:tcBorders>
              <w:top w:val="single" w:sz="8" w:space="0" w:color="000000"/>
              <w:left w:val="nil"/>
              <w:bottom w:val="single" w:sz="4" w:space="0" w:color="F2F2F2"/>
              <w:right w:val="single" w:sz="8" w:space="0" w:color="000000"/>
            </w:tcBorders>
            <w:shd w:val="clear" w:color="auto" w:fill="88D9FF"/>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b/>
                <w:bCs/>
                <w:noProof/>
                <w:color w:val="231F20"/>
                <w:sz w:val="18"/>
                <w:szCs w:val="24"/>
                <w:lang w:eastAsia="en-AU"/>
              </w:rPr>
              <w:t>Mean Annual Impervious Runoff</w:t>
            </w:r>
            <w:r w:rsidRPr="00DF1238">
              <w:rPr>
                <w:rFonts w:ascii="Verdana" w:eastAsia="Times New Roman" w:hAnsi="Verdana" w:cs="Times New Roman"/>
                <w:b/>
                <w:bCs/>
                <w:noProof/>
                <w:color w:val="231F20"/>
                <w:sz w:val="18"/>
                <w:szCs w:val="24"/>
                <w:lang w:eastAsia="en-AU"/>
              </w:rPr>
              <w:br/>
              <w:t>(runoff from 1 impervious ha) (ML/year)</w:t>
            </w:r>
          </w:p>
        </w:tc>
        <w:tc>
          <w:tcPr>
            <w:tcW w:w="3098" w:type="dxa"/>
            <w:gridSpan w:val="2"/>
            <w:tcBorders>
              <w:top w:val="single" w:sz="8" w:space="0" w:color="000000"/>
              <w:left w:val="single" w:sz="8" w:space="0" w:color="000000"/>
              <w:bottom w:val="nil"/>
              <w:right w:val="nil"/>
            </w:tcBorders>
            <w:shd w:val="clear" w:color="auto" w:fill="FFDE93"/>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b/>
                <w:bCs/>
                <w:noProof/>
                <w:color w:val="231F20"/>
                <w:sz w:val="18"/>
                <w:szCs w:val="24"/>
                <w:lang w:eastAsia="en-AU"/>
              </w:rPr>
              <w:t>Priority areas</w:t>
            </w:r>
          </w:p>
        </w:tc>
        <w:tc>
          <w:tcPr>
            <w:tcW w:w="3102" w:type="dxa"/>
            <w:gridSpan w:val="2"/>
            <w:tcBorders>
              <w:top w:val="single" w:sz="8" w:space="0" w:color="000000"/>
              <w:left w:val="nil"/>
              <w:bottom w:val="nil"/>
              <w:right w:val="single" w:sz="8" w:space="0" w:color="000000"/>
            </w:tcBorders>
            <w:shd w:val="clear" w:color="auto" w:fill="CAF196"/>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b/>
                <w:bCs/>
                <w:noProof/>
                <w:color w:val="231F20"/>
                <w:sz w:val="18"/>
                <w:szCs w:val="24"/>
                <w:lang w:eastAsia="en-AU"/>
              </w:rPr>
              <w:t>Other areas</w:t>
            </w:r>
          </w:p>
        </w:tc>
      </w:tr>
      <w:tr w:rsidR="00DF1238" w:rsidRPr="00DF1238" w:rsidTr="00770881">
        <w:trPr>
          <w:trHeight w:val="19"/>
          <w:jc w:val="center"/>
        </w:trPr>
        <w:tc>
          <w:tcPr>
            <w:tcW w:w="0" w:type="auto"/>
            <w:vMerge/>
            <w:tcBorders>
              <w:top w:val="single" w:sz="8" w:space="0" w:color="000000"/>
              <w:left w:val="single" w:sz="8" w:space="0" w:color="000000"/>
              <w:bottom w:val="single" w:sz="4" w:space="0" w:color="F2F2F2"/>
              <w:right w:val="nil"/>
            </w:tcBorders>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p>
        </w:tc>
        <w:tc>
          <w:tcPr>
            <w:tcW w:w="0" w:type="auto"/>
            <w:vMerge/>
            <w:tcBorders>
              <w:top w:val="single" w:sz="8" w:space="0" w:color="000000"/>
              <w:left w:val="nil"/>
              <w:bottom w:val="single" w:sz="4" w:space="0" w:color="F2F2F2"/>
              <w:right w:val="single" w:sz="8" w:space="0" w:color="000000"/>
            </w:tcBorders>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p>
        </w:tc>
        <w:tc>
          <w:tcPr>
            <w:tcW w:w="6200" w:type="dxa"/>
            <w:gridSpan w:val="4"/>
            <w:tcBorders>
              <w:top w:val="nil"/>
              <w:left w:val="single" w:sz="8" w:space="0" w:color="000000"/>
              <w:bottom w:val="nil"/>
              <w:right w:val="single" w:sz="8" w:space="0" w:color="000000"/>
            </w:tcBorders>
            <w:shd w:val="clear" w:color="auto" w:fill="auto"/>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b/>
                <w:noProof/>
                <w:color w:val="231F20"/>
                <w:sz w:val="18"/>
                <w:szCs w:val="24"/>
                <w:lang w:eastAsia="en-AU"/>
              </w:rPr>
            </w:pPr>
            <w:r w:rsidRPr="00DF1238">
              <w:rPr>
                <w:rFonts w:ascii="Verdana" w:eastAsia="Times New Roman" w:hAnsi="Verdana" w:cs="Times New Roman"/>
                <w:b/>
                <w:bCs/>
                <w:noProof/>
                <w:color w:val="231F20"/>
                <w:sz w:val="18"/>
                <w:szCs w:val="24"/>
                <w:lang w:eastAsia="en-AU"/>
              </w:rPr>
              <w:t>Targets are expressed as a % reduction from Mean Annual Impervious Runoff</w:t>
            </w:r>
          </w:p>
        </w:tc>
      </w:tr>
      <w:tr w:rsidR="00DF1238" w:rsidRPr="00DF1238" w:rsidTr="00770881">
        <w:trPr>
          <w:trHeight w:val="19"/>
          <w:jc w:val="center"/>
        </w:trPr>
        <w:tc>
          <w:tcPr>
            <w:tcW w:w="0" w:type="auto"/>
            <w:vMerge/>
            <w:tcBorders>
              <w:top w:val="single" w:sz="8" w:space="0" w:color="000000"/>
              <w:left w:val="single" w:sz="8" w:space="0" w:color="000000"/>
              <w:bottom w:val="single" w:sz="4" w:space="0" w:color="F2F2F2"/>
              <w:right w:val="nil"/>
            </w:tcBorders>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p>
        </w:tc>
        <w:tc>
          <w:tcPr>
            <w:tcW w:w="0" w:type="auto"/>
            <w:vMerge/>
            <w:tcBorders>
              <w:top w:val="single" w:sz="8" w:space="0" w:color="000000"/>
              <w:left w:val="nil"/>
              <w:bottom w:val="single" w:sz="4" w:space="0" w:color="F2F2F2"/>
              <w:right w:val="single" w:sz="8" w:space="0" w:color="000000"/>
            </w:tcBorders>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p>
        </w:tc>
        <w:tc>
          <w:tcPr>
            <w:tcW w:w="1829" w:type="dxa"/>
            <w:tcBorders>
              <w:top w:val="nil"/>
              <w:left w:val="single" w:sz="8" w:space="0" w:color="000000"/>
              <w:bottom w:val="single" w:sz="4" w:space="0" w:color="F2F2F2"/>
              <w:right w:val="nil"/>
            </w:tcBorders>
            <w:shd w:val="clear" w:color="auto" w:fill="FFDE93"/>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b/>
                <w:bCs/>
                <w:noProof/>
                <w:color w:val="231F20"/>
                <w:sz w:val="18"/>
                <w:szCs w:val="24"/>
                <w:lang w:eastAsia="en-AU"/>
              </w:rPr>
              <w:t>Harvest / evapotranspire</w:t>
            </w:r>
          </w:p>
        </w:tc>
        <w:tc>
          <w:tcPr>
            <w:tcW w:w="1269" w:type="dxa"/>
            <w:tcBorders>
              <w:top w:val="nil"/>
              <w:left w:val="nil"/>
              <w:bottom w:val="single" w:sz="4" w:space="0" w:color="F2F2F2"/>
              <w:right w:val="nil"/>
            </w:tcBorders>
            <w:shd w:val="clear" w:color="auto" w:fill="FFEEC8"/>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b/>
                <w:bCs/>
                <w:noProof/>
                <w:color w:val="231F20"/>
                <w:sz w:val="18"/>
                <w:szCs w:val="24"/>
                <w:lang w:eastAsia="en-AU"/>
              </w:rPr>
              <w:t>Infiltrate / filter</w:t>
            </w:r>
          </w:p>
        </w:tc>
        <w:tc>
          <w:tcPr>
            <w:tcW w:w="1829" w:type="dxa"/>
            <w:tcBorders>
              <w:top w:val="nil"/>
              <w:left w:val="nil"/>
              <w:bottom w:val="single" w:sz="4" w:space="0" w:color="F2F2F2"/>
              <w:right w:val="nil"/>
            </w:tcBorders>
            <w:shd w:val="clear" w:color="auto" w:fill="CAF196"/>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b/>
                <w:bCs/>
                <w:noProof/>
                <w:color w:val="231F20"/>
                <w:sz w:val="18"/>
                <w:szCs w:val="24"/>
                <w:lang w:eastAsia="en-AU"/>
              </w:rPr>
              <w:t>Harvest / evapotranspire</w:t>
            </w:r>
          </w:p>
        </w:tc>
        <w:tc>
          <w:tcPr>
            <w:tcW w:w="1273" w:type="dxa"/>
            <w:tcBorders>
              <w:top w:val="nil"/>
              <w:left w:val="nil"/>
              <w:bottom w:val="single" w:sz="4" w:space="0" w:color="F2F2F2"/>
              <w:right w:val="single" w:sz="8" w:space="0" w:color="000000"/>
            </w:tcBorders>
            <w:shd w:val="clear" w:color="auto" w:fill="E4F8CB"/>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b/>
                <w:bCs/>
                <w:noProof/>
                <w:color w:val="231F20"/>
                <w:sz w:val="18"/>
                <w:szCs w:val="24"/>
                <w:lang w:eastAsia="en-AU"/>
              </w:rPr>
              <w:t>Infiltrate / filter</w:t>
            </w:r>
          </w:p>
        </w:tc>
      </w:tr>
      <w:tr w:rsidR="00DF1238" w:rsidRPr="00DF1238" w:rsidTr="00770881">
        <w:trPr>
          <w:trHeight w:val="19"/>
          <w:jc w:val="center"/>
        </w:trPr>
        <w:tc>
          <w:tcPr>
            <w:tcW w:w="1498" w:type="dxa"/>
            <w:tcBorders>
              <w:top w:val="single" w:sz="4" w:space="0" w:color="F2F2F2"/>
              <w:left w:val="single" w:sz="8" w:space="0" w:color="000000"/>
              <w:bottom w:val="dotted" w:sz="4" w:space="0" w:color="F2F2F2"/>
              <w:right w:val="nil"/>
            </w:tcBorders>
            <w:shd w:val="clear" w:color="auto" w:fill="88D9FF"/>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b/>
                <w:bCs/>
                <w:noProof/>
                <w:color w:val="231F20"/>
                <w:sz w:val="18"/>
                <w:szCs w:val="24"/>
                <w:lang w:eastAsia="en-AU"/>
              </w:rPr>
              <w:t>200</w:t>
            </w:r>
          </w:p>
        </w:tc>
        <w:tc>
          <w:tcPr>
            <w:tcW w:w="1546" w:type="dxa"/>
            <w:tcBorders>
              <w:top w:val="single" w:sz="4" w:space="0" w:color="F2F2F2"/>
              <w:left w:val="nil"/>
              <w:bottom w:val="dotted" w:sz="4" w:space="0" w:color="F2F2F2"/>
              <w:right w:val="single" w:sz="8" w:space="0" w:color="000000"/>
            </w:tcBorders>
            <w:shd w:val="clear" w:color="auto" w:fill="C4ECFF"/>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1.4</w:t>
            </w:r>
          </w:p>
        </w:tc>
        <w:tc>
          <w:tcPr>
            <w:tcW w:w="1829" w:type="dxa"/>
            <w:tcBorders>
              <w:top w:val="single" w:sz="4" w:space="0" w:color="F2F2F2"/>
              <w:left w:val="single" w:sz="8" w:space="0" w:color="000000"/>
              <w:bottom w:val="dotted" w:sz="4" w:space="0" w:color="F2F2F2"/>
              <w:right w:val="nil"/>
            </w:tcBorders>
            <w:shd w:val="clear" w:color="auto" w:fill="FFDE93"/>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93 %</w:t>
            </w:r>
          </w:p>
        </w:tc>
        <w:tc>
          <w:tcPr>
            <w:tcW w:w="1269" w:type="dxa"/>
            <w:tcBorders>
              <w:top w:val="single" w:sz="4" w:space="0" w:color="F2F2F2"/>
              <w:left w:val="nil"/>
              <w:bottom w:val="dotted" w:sz="4" w:space="0" w:color="F2F2F2"/>
              <w:right w:val="nil"/>
            </w:tcBorders>
            <w:shd w:val="clear" w:color="auto" w:fill="FFEEC8"/>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0 %</w:t>
            </w:r>
          </w:p>
        </w:tc>
        <w:tc>
          <w:tcPr>
            <w:tcW w:w="1829" w:type="dxa"/>
            <w:tcBorders>
              <w:top w:val="single" w:sz="4" w:space="0" w:color="F2F2F2"/>
              <w:left w:val="nil"/>
              <w:bottom w:val="dotted" w:sz="4" w:space="0" w:color="F2F2F2"/>
              <w:right w:val="nil"/>
            </w:tcBorders>
            <w:shd w:val="clear" w:color="auto" w:fill="CAF196"/>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37 %</w:t>
            </w:r>
          </w:p>
        </w:tc>
        <w:tc>
          <w:tcPr>
            <w:tcW w:w="1273" w:type="dxa"/>
            <w:tcBorders>
              <w:top w:val="single" w:sz="4" w:space="0" w:color="F2F2F2"/>
              <w:left w:val="nil"/>
              <w:bottom w:val="dotted" w:sz="4" w:space="0" w:color="F2F2F2"/>
              <w:right w:val="single" w:sz="8" w:space="0" w:color="000000"/>
            </w:tcBorders>
            <w:shd w:val="clear" w:color="auto" w:fill="E4F8CB"/>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0 %</w:t>
            </w:r>
          </w:p>
        </w:tc>
      </w:tr>
      <w:tr w:rsidR="00DF1238" w:rsidRPr="00DF1238" w:rsidTr="00770881">
        <w:trPr>
          <w:trHeight w:val="19"/>
          <w:jc w:val="center"/>
        </w:trPr>
        <w:tc>
          <w:tcPr>
            <w:tcW w:w="1498" w:type="dxa"/>
            <w:tcBorders>
              <w:top w:val="dotted" w:sz="4" w:space="0" w:color="F2F2F2"/>
              <w:left w:val="single" w:sz="8" w:space="0" w:color="000000"/>
              <w:bottom w:val="dotted" w:sz="4" w:space="0" w:color="F2F2F2"/>
              <w:right w:val="nil"/>
            </w:tcBorders>
            <w:shd w:val="clear" w:color="auto" w:fill="88D9FF"/>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b/>
                <w:bCs/>
                <w:noProof/>
                <w:color w:val="231F20"/>
                <w:sz w:val="18"/>
                <w:szCs w:val="24"/>
                <w:lang w:eastAsia="en-AU"/>
              </w:rPr>
              <w:t>300</w:t>
            </w:r>
          </w:p>
        </w:tc>
        <w:tc>
          <w:tcPr>
            <w:tcW w:w="1546" w:type="dxa"/>
            <w:tcBorders>
              <w:top w:val="dotted" w:sz="4" w:space="0" w:color="F2F2F2"/>
              <w:left w:val="nil"/>
              <w:bottom w:val="dotted" w:sz="4" w:space="0" w:color="F2F2F2"/>
              <w:right w:val="single" w:sz="8" w:space="0" w:color="000000"/>
            </w:tcBorders>
            <w:shd w:val="clear" w:color="auto" w:fill="C4ECFF"/>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2.2</w:t>
            </w:r>
          </w:p>
        </w:tc>
        <w:tc>
          <w:tcPr>
            <w:tcW w:w="1829" w:type="dxa"/>
            <w:tcBorders>
              <w:top w:val="dotted" w:sz="4" w:space="0" w:color="F2F2F2"/>
              <w:left w:val="single" w:sz="8" w:space="0" w:color="000000"/>
              <w:bottom w:val="dotted" w:sz="4" w:space="0" w:color="F2F2F2"/>
              <w:right w:val="nil"/>
            </w:tcBorders>
            <w:shd w:val="clear" w:color="auto" w:fill="FFDE93"/>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88 %</w:t>
            </w:r>
          </w:p>
        </w:tc>
        <w:tc>
          <w:tcPr>
            <w:tcW w:w="1269" w:type="dxa"/>
            <w:tcBorders>
              <w:top w:val="dotted" w:sz="4" w:space="0" w:color="F2F2F2"/>
              <w:left w:val="nil"/>
              <w:bottom w:val="dotted" w:sz="4" w:space="0" w:color="F2F2F2"/>
              <w:right w:val="nil"/>
            </w:tcBorders>
            <w:shd w:val="clear" w:color="auto" w:fill="FFEEC8"/>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0 %</w:t>
            </w:r>
          </w:p>
        </w:tc>
        <w:tc>
          <w:tcPr>
            <w:tcW w:w="1829" w:type="dxa"/>
            <w:tcBorders>
              <w:top w:val="dotted" w:sz="4" w:space="0" w:color="F2F2F2"/>
              <w:left w:val="nil"/>
              <w:bottom w:val="dotted" w:sz="4" w:space="0" w:color="F2F2F2"/>
              <w:right w:val="nil"/>
            </w:tcBorders>
            <w:shd w:val="clear" w:color="auto" w:fill="CAF196"/>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35 %</w:t>
            </w:r>
          </w:p>
        </w:tc>
        <w:tc>
          <w:tcPr>
            <w:tcW w:w="1273" w:type="dxa"/>
            <w:tcBorders>
              <w:top w:val="dotted" w:sz="4" w:space="0" w:color="F2F2F2"/>
              <w:left w:val="nil"/>
              <w:bottom w:val="dotted" w:sz="4" w:space="0" w:color="F2F2F2"/>
              <w:right w:val="single" w:sz="8" w:space="0" w:color="000000"/>
            </w:tcBorders>
            <w:shd w:val="clear" w:color="auto" w:fill="E4F8CB"/>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0 %</w:t>
            </w:r>
          </w:p>
        </w:tc>
      </w:tr>
      <w:tr w:rsidR="00DF1238" w:rsidRPr="00DF1238" w:rsidTr="00770881">
        <w:trPr>
          <w:trHeight w:val="19"/>
          <w:jc w:val="center"/>
        </w:trPr>
        <w:tc>
          <w:tcPr>
            <w:tcW w:w="1498" w:type="dxa"/>
            <w:tcBorders>
              <w:top w:val="dotted" w:sz="4" w:space="0" w:color="F2F2F2"/>
              <w:left w:val="single" w:sz="8" w:space="0" w:color="000000"/>
              <w:bottom w:val="dotted" w:sz="4" w:space="0" w:color="F2F2F2"/>
              <w:right w:val="nil"/>
            </w:tcBorders>
            <w:shd w:val="clear" w:color="auto" w:fill="88D9FF"/>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b/>
                <w:bCs/>
                <w:noProof/>
                <w:color w:val="231F20"/>
                <w:sz w:val="18"/>
                <w:szCs w:val="24"/>
                <w:lang w:eastAsia="en-AU"/>
              </w:rPr>
              <w:t>400</w:t>
            </w:r>
          </w:p>
        </w:tc>
        <w:tc>
          <w:tcPr>
            <w:tcW w:w="1546" w:type="dxa"/>
            <w:tcBorders>
              <w:top w:val="dotted" w:sz="4" w:space="0" w:color="F2F2F2"/>
              <w:left w:val="nil"/>
              <w:bottom w:val="dotted" w:sz="4" w:space="0" w:color="F2F2F2"/>
              <w:right w:val="single" w:sz="8" w:space="0" w:color="000000"/>
            </w:tcBorders>
            <w:shd w:val="clear" w:color="auto" w:fill="C4ECFF"/>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3.1</w:t>
            </w:r>
          </w:p>
        </w:tc>
        <w:tc>
          <w:tcPr>
            <w:tcW w:w="1829" w:type="dxa"/>
            <w:tcBorders>
              <w:top w:val="dotted" w:sz="4" w:space="0" w:color="F2F2F2"/>
              <w:left w:val="single" w:sz="8" w:space="0" w:color="000000"/>
              <w:bottom w:val="dotted" w:sz="4" w:space="0" w:color="F2F2F2"/>
              <w:right w:val="nil"/>
            </w:tcBorders>
            <w:shd w:val="clear" w:color="auto" w:fill="FFDE93"/>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83 %</w:t>
            </w:r>
          </w:p>
        </w:tc>
        <w:tc>
          <w:tcPr>
            <w:tcW w:w="1269" w:type="dxa"/>
            <w:tcBorders>
              <w:top w:val="dotted" w:sz="4" w:space="0" w:color="F2F2F2"/>
              <w:left w:val="nil"/>
              <w:bottom w:val="dotted" w:sz="4" w:space="0" w:color="F2F2F2"/>
              <w:right w:val="nil"/>
            </w:tcBorders>
            <w:shd w:val="clear" w:color="auto" w:fill="FFEEC8"/>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0 %</w:t>
            </w:r>
          </w:p>
        </w:tc>
        <w:tc>
          <w:tcPr>
            <w:tcW w:w="1829" w:type="dxa"/>
            <w:tcBorders>
              <w:top w:val="dotted" w:sz="4" w:space="0" w:color="F2F2F2"/>
              <w:left w:val="nil"/>
              <w:bottom w:val="dotted" w:sz="4" w:space="0" w:color="F2F2F2"/>
              <w:right w:val="nil"/>
            </w:tcBorders>
            <w:shd w:val="clear" w:color="auto" w:fill="CAF196"/>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33 %</w:t>
            </w:r>
          </w:p>
        </w:tc>
        <w:tc>
          <w:tcPr>
            <w:tcW w:w="1273" w:type="dxa"/>
            <w:tcBorders>
              <w:top w:val="dotted" w:sz="4" w:space="0" w:color="F2F2F2"/>
              <w:left w:val="nil"/>
              <w:bottom w:val="dotted" w:sz="4" w:space="0" w:color="F2F2F2"/>
              <w:right w:val="single" w:sz="8" w:space="0" w:color="000000"/>
            </w:tcBorders>
            <w:shd w:val="clear" w:color="auto" w:fill="E4F8CB"/>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0 %</w:t>
            </w:r>
          </w:p>
        </w:tc>
      </w:tr>
      <w:tr w:rsidR="00DF1238" w:rsidRPr="00DF1238" w:rsidTr="00770881">
        <w:trPr>
          <w:trHeight w:val="19"/>
          <w:jc w:val="center"/>
        </w:trPr>
        <w:tc>
          <w:tcPr>
            <w:tcW w:w="1498" w:type="dxa"/>
            <w:tcBorders>
              <w:top w:val="dotted" w:sz="4" w:space="0" w:color="F2F2F2"/>
              <w:left w:val="single" w:sz="8" w:space="0" w:color="000000"/>
              <w:bottom w:val="dotted" w:sz="4" w:space="0" w:color="F2F2F2"/>
              <w:right w:val="nil"/>
            </w:tcBorders>
            <w:shd w:val="clear" w:color="auto" w:fill="88D9FF"/>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b/>
                <w:bCs/>
                <w:noProof/>
                <w:color w:val="231F20"/>
                <w:sz w:val="18"/>
                <w:szCs w:val="24"/>
                <w:lang w:eastAsia="en-AU"/>
              </w:rPr>
              <w:t>500</w:t>
            </w:r>
          </w:p>
        </w:tc>
        <w:tc>
          <w:tcPr>
            <w:tcW w:w="1546" w:type="dxa"/>
            <w:tcBorders>
              <w:top w:val="dotted" w:sz="4" w:space="0" w:color="F2F2F2"/>
              <w:left w:val="nil"/>
              <w:bottom w:val="dotted" w:sz="4" w:space="0" w:color="F2F2F2"/>
              <w:right w:val="single" w:sz="8" w:space="0" w:color="000000"/>
            </w:tcBorders>
            <w:shd w:val="clear" w:color="auto" w:fill="C4ECFF"/>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3.9</w:t>
            </w:r>
          </w:p>
        </w:tc>
        <w:tc>
          <w:tcPr>
            <w:tcW w:w="1829" w:type="dxa"/>
            <w:tcBorders>
              <w:top w:val="dotted" w:sz="4" w:space="0" w:color="F2F2F2"/>
              <w:left w:val="single" w:sz="8" w:space="0" w:color="000000"/>
              <w:bottom w:val="dotted" w:sz="4" w:space="0" w:color="F2F2F2"/>
              <w:right w:val="nil"/>
            </w:tcBorders>
            <w:shd w:val="clear" w:color="auto" w:fill="FFDE93"/>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77 %</w:t>
            </w:r>
          </w:p>
        </w:tc>
        <w:tc>
          <w:tcPr>
            <w:tcW w:w="1269" w:type="dxa"/>
            <w:tcBorders>
              <w:top w:val="dotted" w:sz="4" w:space="0" w:color="F2F2F2"/>
              <w:left w:val="nil"/>
              <w:bottom w:val="dotted" w:sz="4" w:space="0" w:color="F2F2F2"/>
              <w:right w:val="nil"/>
            </w:tcBorders>
            <w:shd w:val="clear" w:color="auto" w:fill="FFEEC8"/>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5 %</w:t>
            </w:r>
          </w:p>
        </w:tc>
        <w:tc>
          <w:tcPr>
            <w:tcW w:w="1829" w:type="dxa"/>
            <w:tcBorders>
              <w:top w:val="dotted" w:sz="4" w:space="0" w:color="F2F2F2"/>
              <w:left w:val="nil"/>
              <w:bottom w:val="dotted" w:sz="4" w:space="0" w:color="F2F2F2"/>
              <w:right w:val="nil"/>
            </w:tcBorders>
            <w:shd w:val="clear" w:color="auto" w:fill="CAF196"/>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31 %</w:t>
            </w:r>
          </w:p>
        </w:tc>
        <w:tc>
          <w:tcPr>
            <w:tcW w:w="1273" w:type="dxa"/>
            <w:tcBorders>
              <w:top w:val="dotted" w:sz="4" w:space="0" w:color="F2F2F2"/>
              <w:left w:val="nil"/>
              <w:bottom w:val="dotted" w:sz="4" w:space="0" w:color="F2F2F2"/>
              <w:right w:val="single" w:sz="8" w:space="0" w:color="000000"/>
            </w:tcBorders>
            <w:shd w:val="clear" w:color="auto" w:fill="E4F8CB"/>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4 %</w:t>
            </w:r>
          </w:p>
        </w:tc>
      </w:tr>
      <w:tr w:rsidR="00DF1238" w:rsidRPr="00DF1238" w:rsidTr="00770881">
        <w:trPr>
          <w:trHeight w:val="19"/>
          <w:jc w:val="center"/>
        </w:trPr>
        <w:tc>
          <w:tcPr>
            <w:tcW w:w="1498" w:type="dxa"/>
            <w:tcBorders>
              <w:top w:val="dotted" w:sz="4" w:space="0" w:color="F2F2F2"/>
              <w:left w:val="single" w:sz="8" w:space="0" w:color="000000"/>
              <w:bottom w:val="dotted" w:sz="4" w:space="0" w:color="F2F2F2"/>
              <w:right w:val="nil"/>
            </w:tcBorders>
            <w:shd w:val="clear" w:color="auto" w:fill="88D9FF"/>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b/>
                <w:bCs/>
                <w:noProof/>
                <w:color w:val="231F20"/>
                <w:sz w:val="18"/>
                <w:szCs w:val="24"/>
                <w:lang w:eastAsia="en-AU"/>
              </w:rPr>
              <w:t>600</w:t>
            </w:r>
          </w:p>
        </w:tc>
        <w:tc>
          <w:tcPr>
            <w:tcW w:w="1546" w:type="dxa"/>
            <w:tcBorders>
              <w:top w:val="dotted" w:sz="4" w:space="0" w:color="F2F2F2"/>
              <w:left w:val="nil"/>
              <w:bottom w:val="dotted" w:sz="4" w:space="0" w:color="F2F2F2"/>
              <w:right w:val="single" w:sz="8" w:space="0" w:color="000000"/>
            </w:tcBorders>
            <w:shd w:val="clear" w:color="auto" w:fill="C4ECFF"/>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4.8</w:t>
            </w:r>
          </w:p>
        </w:tc>
        <w:tc>
          <w:tcPr>
            <w:tcW w:w="1829" w:type="dxa"/>
            <w:tcBorders>
              <w:top w:val="dotted" w:sz="4" w:space="0" w:color="F2F2F2"/>
              <w:left w:val="single" w:sz="8" w:space="0" w:color="000000"/>
              <w:bottom w:val="dotted" w:sz="4" w:space="0" w:color="F2F2F2"/>
              <w:right w:val="nil"/>
            </w:tcBorders>
            <w:shd w:val="clear" w:color="auto" w:fill="FFDE93"/>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72 %</w:t>
            </w:r>
          </w:p>
        </w:tc>
        <w:tc>
          <w:tcPr>
            <w:tcW w:w="1269" w:type="dxa"/>
            <w:tcBorders>
              <w:top w:val="dotted" w:sz="4" w:space="0" w:color="F2F2F2"/>
              <w:left w:val="nil"/>
              <w:bottom w:val="dotted" w:sz="4" w:space="0" w:color="F2F2F2"/>
              <w:right w:val="nil"/>
            </w:tcBorders>
            <w:shd w:val="clear" w:color="auto" w:fill="FFEEC8"/>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9 %</w:t>
            </w:r>
          </w:p>
        </w:tc>
        <w:tc>
          <w:tcPr>
            <w:tcW w:w="1829" w:type="dxa"/>
            <w:tcBorders>
              <w:top w:val="dotted" w:sz="4" w:space="0" w:color="F2F2F2"/>
              <w:left w:val="nil"/>
              <w:bottom w:val="dotted" w:sz="4" w:space="0" w:color="F2F2F2"/>
              <w:right w:val="nil"/>
            </w:tcBorders>
            <w:shd w:val="clear" w:color="auto" w:fill="CAF196"/>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29 %</w:t>
            </w:r>
          </w:p>
        </w:tc>
        <w:tc>
          <w:tcPr>
            <w:tcW w:w="1273" w:type="dxa"/>
            <w:tcBorders>
              <w:top w:val="dotted" w:sz="4" w:space="0" w:color="F2F2F2"/>
              <w:left w:val="nil"/>
              <w:bottom w:val="dotted" w:sz="4" w:space="0" w:color="F2F2F2"/>
              <w:right w:val="single" w:sz="8" w:space="0" w:color="000000"/>
            </w:tcBorders>
            <w:shd w:val="clear" w:color="auto" w:fill="E4F8CB"/>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7 %</w:t>
            </w:r>
          </w:p>
        </w:tc>
      </w:tr>
      <w:tr w:rsidR="00DF1238" w:rsidRPr="00DF1238" w:rsidTr="00770881">
        <w:trPr>
          <w:trHeight w:val="19"/>
          <w:jc w:val="center"/>
        </w:trPr>
        <w:tc>
          <w:tcPr>
            <w:tcW w:w="1498" w:type="dxa"/>
            <w:tcBorders>
              <w:top w:val="dotted" w:sz="4" w:space="0" w:color="F2F2F2"/>
              <w:left w:val="single" w:sz="8" w:space="0" w:color="000000"/>
              <w:bottom w:val="dotted" w:sz="4" w:space="0" w:color="F2F2F2"/>
              <w:right w:val="nil"/>
            </w:tcBorders>
            <w:shd w:val="clear" w:color="auto" w:fill="88D9FF"/>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b/>
                <w:bCs/>
                <w:noProof/>
                <w:color w:val="231F20"/>
                <w:sz w:val="18"/>
                <w:szCs w:val="24"/>
                <w:lang w:eastAsia="en-AU"/>
              </w:rPr>
              <w:t>700</w:t>
            </w:r>
          </w:p>
        </w:tc>
        <w:tc>
          <w:tcPr>
            <w:tcW w:w="1546" w:type="dxa"/>
            <w:tcBorders>
              <w:top w:val="dotted" w:sz="4" w:space="0" w:color="F2F2F2"/>
              <w:left w:val="nil"/>
              <w:bottom w:val="dotted" w:sz="4" w:space="0" w:color="F2F2F2"/>
              <w:right w:val="single" w:sz="8" w:space="0" w:color="000000"/>
            </w:tcBorders>
            <w:shd w:val="clear" w:color="auto" w:fill="C4ECFF"/>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5.7</w:t>
            </w:r>
          </w:p>
        </w:tc>
        <w:tc>
          <w:tcPr>
            <w:tcW w:w="1829" w:type="dxa"/>
            <w:tcBorders>
              <w:top w:val="dotted" w:sz="4" w:space="0" w:color="F2F2F2"/>
              <w:left w:val="single" w:sz="8" w:space="0" w:color="000000"/>
              <w:bottom w:val="dotted" w:sz="4" w:space="0" w:color="F2F2F2"/>
              <w:right w:val="nil"/>
            </w:tcBorders>
            <w:shd w:val="clear" w:color="auto" w:fill="FFDE93"/>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68 %</w:t>
            </w:r>
          </w:p>
        </w:tc>
        <w:tc>
          <w:tcPr>
            <w:tcW w:w="1269" w:type="dxa"/>
            <w:tcBorders>
              <w:top w:val="dotted" w:sz="4" w:space="0" w:color="F2F2F2"/>
              <w:left w:val="nil"/>
              <w:bottom w:val="dotted" w:sz="4" w:space="0" w:color="F2F2F2"/>
              <w:right w:val="nil"/>
            </w:tcBorders>
            <w:shd w:val="clear" w:color="auto" w:fill="FFEEC8"/>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11 %</w:t>
            </w:r>
          </w:p>
        </w:tc>
        <w:tc>
          <w:tcPr>
            <w:tcW w:w="1829" w:type="dxa"/>
            <w:tcBorders>
              <w:top w:val="dotted" w:sz="4" w:space="0" w:color="F2F2F2"/>
              <w:left w:val="nil"/>
              <w:bottom w:val="dotted" w:sz="4" w:space="0" w:color="F2F2F2"/>
              <w:right w:val="nil"/>
            </w:tcBorders>
            <w:shd w:val="clear" w:color="auto" w:fill="CAF196"/>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27 %</w:t>
            </w:r>
          </w:p>
        </w:tc>
        <w:tc>
          <w:tcPr>
            <w:tcW w:w="1273" w:type="dxa"/>
            <w:tcBorders>
              <w:top w:val="dotted" w:sz="4" w:space="0" w:color="F2F2F2"/>
              <w:left w:val="nil"/>
              <w:bottom w:val="dotted" w:sz="4" w:space="0" w:color="F2F2F2"/>
              <w:right w:val="single" w:sz="8" w:space="0" w:color="000000"/>
            </w:tcBorders>
            <w:shd w:val="clear" w:color="auto" w:fill="E4F8CB"/>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9 %</w:t>
            </w:r>
          </w:p>
        </w:tc>
      </w:tr>
      <w:tr w:rsidR="00DF1238" w:rsidRPr="00DF1238" w:rsidTr="00770881">
        <w:trPr>
          <w:trHeight w:val="19"/>
          <w:jc w:val="center"/>
        </w:trPr>
        <w:tc>
          <w:tcPr>
            <w:tcW w:w="1498" w:type="dxa"/>
            <w:tcBorders>
              <w:top w:val="dotted" w:sz="4" w:space="0" w:color="F2F2F2"/>
              <w:left w:val="single" w:sz="8" w:space="0" w:color="000000"/>
              <w:bottom w:val="dotted" w:sz="4" w:space="0" w:color="F2F2F2"/>
              <w:right w:val="nil"/>
            </w:tcBorders>
            <w:shd w:val="clear" w:color="auto" w:fill="88D9FF"/>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b/>
                <w:bCs/>
                <w:noProof/>
                <w:color w:val="231F20"/>
                <w:sz w:val="18"/>
                <w:szCs w:val="24"/>
                <w:lang w:eastAsia="en-AU"/>
              </w:rPr>
              <w:t>800</w:t>
            </w:r>
          </w:p>
        </w:tc>
        <w:tc>
          <w:tcPr>
            <w:tcW w:w="1546" w:type="dxa"/>
            <w:tcBorders>
              <w:top w:val="dotted" w:sz="4" w:space="0" w:color="F2F2F2"/>
              <w:left w:val="nil"/>
              <w:bottom w:val="dotted" w:sz="4" w:space="0" w:color="F2F2F2"/>
              <w:right w:val="single" w:sz="8" w:space="0" w:color="000000"/>
            </w:tcBorders>
            <w:shd w:val="clear" w:color="auto" w:fill="C4ECFF"/>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6.6</w:t>
            </w:r>
          </w:p>
        </w:tc>
        <w:tc>
          <w:tcPr>
            <w:tcW w:w="1829" w:type="dxa"/>
            <w:tcBorders>
              <w:top w:val="dotted" w:sz="4" w:space="0" w:color="F2F2F2"/>
              <w:left w:val="single" w:sz="8" w:space="0" w:color="000000"/>
              <w:bottom w:val="dotted" w:sz="4" w:space="0" w:color="F2F2F2"/>
              <w:right w:val="nil"/>
            </w:tcBorders>
            <w:shd w:val="clear" w:color="auto" w:fill="FFDE93"/>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64 %</w:t>
            </w:r>
          </w:p>
        </w:tc>
        <w:tc>
          <w:tcPr>
            <w:tcW w:w="1269" w:type="dxa"/>
            <w:tcBorders>
              <w:top w:val="dotted" w:sz="4" w:space="0" w:color="F2F2F2"/>
              <w:left w:val="nil"/>
              <w:bottom w:val="dotted" w:sz="4" w:space="0" w:color="F2F2F2"/>
              <w:right w:val="nil"/>
            </w:tcBorders>
            <w:shd w:val="clear" w:color="auto" w:fill="FFEEC8"/>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14 %</w:t>
            </w:r>
          </w:p>
        </w:tc>
        <w:tc>
          <w:tcPr>
            <w:tcW w:w="1829" w:type="dxa"/>
            <w:tcBorders>
              <w:top w:val="dotted" w:sz="4" w:space="0" w:color="F2F2F2"/>
              <w:left w:val="nil"/>
              <w:bottom w:val="dotted" w:sz="4" w:space="0" w:color="F2F2F2"/>
              <w:right w:val="nil"/>
            </w:tcBorders>
            <w:shd w:val="clear" w:color="auto" w:fill="CAF196"/>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26 %</w:t>
            </w:r>
          </w:p>
        </w:tc>
        <w:tc>
          <w:tcPr>
            <w:tcW w:w="1273" w:type="dxa"/>
            <w:tcBorders>
              <w:top w:val="dotted" w:sz="4" w:space="0" w:color="F2F2F2"/>
              <w:left w:val="nil"/>
              <w:bottom w:val="dotted" w:sz="4" w:space="0" w:color="F2F2F2"/>
              <w:right w:val="single" w:sz="8" w:space="0" w:color="000000"/>
            </w:tcBorders>
            <w:shd w:val="clear" w:color="auto" w:fill="E4F8CB"/>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11 %</w:t>
            </w:r>
          </w:p>
        </w:tc>
      </w:tr>
      <w:tr w:rsidR="00DF1238" w:rsidRPr="00DF1238" w:rsidTr="00770881">
        <w:trPr>
          <w:trHeight w:val="19"/>
          <w:jc w:val="center"/>
        </w:trPr>
        <w:tc>
          <w:tcPr>
            <w:tcW w:w="1498" w:type="dxa"/>
            <w:tcBorders>
              <w:top w:val="dotted" w:sz="4" w:space="0" w:color="F2F2F2"/>
              <w:left w:val="single" w:sz="8" w:space="0" w:color="000000"/>
              <w:bottom w:val="dotted" w:sz="4" w:space="0" w:color="F2F2F2"/>
              <w:right w:val="nil"/>
            </w:tcBorders>
            <w:shd w:val="clear" w:color="auto" w:fill="88D9FF"/>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b/>
                <w:bCs/>
                <w:noProof/>
                <w:color w:val="231F20"/>
                <w:sz w:val="18"/>
                <w:szCs w:val="24"/>
                <w:lang w:eastAsia="en-AU"/>
              </w:rPr>
              <w:t>900</w:t>
            </w:r>
          </w:p>
        </w:tc>
        <w:tc>
          <w:tcPr>
            <w:tcW w:w="1546" w:type="dxa"/>
            <w:tcBorders>
              <w:top w:val="dotted" w:sz="4" w:space="0" w:color="F2F2F2"/>
              <w:left w:val="nil"/>
              <w:bottom w:val="dotted" w:sz="4" w:space="0" w:color="F2F2F2"/>
              <w:right w:val="single" w:sz="8" w:space="0" w:color="000000"/>
            </w:tcBorders>
            <w:shd w:val="clear" w:color="auto" w:fill="C4ECFF"/>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7.5</w:t>
            </w:r>
          </w:p>
        </w:tc>
        <w:tc>
          <w:tcPr>
            <w:tcW w:w="1829" w:type="dxa"/>
            <w:tcBorders>
              <w:top w:val="dotted" w:sz="4" w:space="0" w:color="F2F2F2"/>
              <w:left w:val="single" w:sz="8" w:space="0" w:color="000000"/>
              <w:bottom w:val="dotted" w:sz="4" w:space="0" w:color="F2F2F2"/>
              <w:right w:val="nil"/>
            </w:tcBorders>
            <w:shd w:val="clear" w:color="auto" w:fill="FFDE93"/>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60 %</w:t>
            </w:r>
          </w:p>
        </w:tc>
        <w:tc>
          <w:tcPr>
            <w:tcW w:w="1269" w:type="dxa"/>
            <w:tcBorders>
              <w:top w:val="dotted" w:sz="4" w:space="0" w:color="F2F2F2"/>
              <w:left w:val="nil"/>
              <w:bottom w:val="dotted" w:sz="4" w:space="0" w:color="F2F2F2"/>
              <w:right w:val="nil"/>
            </w:tcBorders>
            <w:shd w:val="clear" w:color="auto" w:fill="FFEEC8"/>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16 %</w:t>
            </w:r>
          </w:p>
        </w:tc>
        <w:tc>
          <w:tcPr>
            <w:tcW w:w="1829" w:type="dxa"/>
            <w:tcBorders>
              <w:top w:val="dotted" w:sz="4" w:space="0" w:color="F2F2F2"/>
              <w:left w:val="nil"/>
              <w:bottom w:val="dotted" w:sz="4" w:space="0" w:color="F2F2F2"/>
              <w:right w:val="nil"/>
            </w:tcBorders>
            <w:shd w:val="clear" w:color="auto" w:fill="CAF196"/>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24 %</w:t>
            </w:r>
          </w:p>
        </w:tc>
        <w:tc>
          <w:tcPr>
            <w:tcW w:w="1273" w:type="dxa"/>
            <w:tcBorders>
              <w:top w:val="dotted" w:sz="4" w:space="0" w:color="F2F2F2"/>
              <w:left w:val="nil"/>
              <w:bottom w:val="dotted" w:sz="4" w:space="0" w:color="F2F2F2"/>
              <w:right w:val="single" w:sz="8" w:space="0" w:color="000000"/>
            </w:tcBorders>
            <w:shd w:val="clear" w:color="auto" w:fill="E4F8CB"/>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13 %</w:t>
            </w:r>
          </w:p>
        </w:tc>
      </w:tr>
      <w:tr w:rsidR="00DF1238" w:rsidRPr="00DF1238" w:rsidTr="00770881">
        <w:trPr>
          <w:trHeight w:val="19"/>
          <w:jc w:val="center"/>
        </w:trPr>
        <w:tc>
          <w:tcPr>
            <w:tcW w:w="1498" w:type="dxa"/>
            <w:tcBorders>
              <w:top w:val="dotted" w:sz="4" w:space="0" w:color="F2F2F2"/>
              <w:left w:val="single" w:sz="8" w:space="0" w:color="000000"/>
              <w:bottom w:val="dotted" w:sz="4" w:space="0" w:color="F2F2F2"/>
              <w:right w:val="nil"/>
            </w:tcBorders>
            <w:shd w:val="clear" w:color="auto" w:fill="88D9FF"/>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b/>
                <w:bCs/>
                <w:noProof/>
                <w:color w:val="231F20"/>
                <w:sz w:val="18"/>
                <w:szCs w:val="24"/>
                <w:lang w:eastAsia="en-AU"/>
              </w:rPr>
              <w:t>1000</w:t>
            </w:r>
          </w:p>
        </w:tc>
        <w:tc>
          <w:tcPr>
            <w:tcW w:w="1546" w:type="dxa"/>
            <w:tcBorders>
              <w:top w:val="dotted" w:sz="4" w:space="0" w:color="F2F2F2"/>
              <w:left w:val="nil"/>
              <w:bottom w:val="dotted" w:sz="4" w:space="0" w:color="F2F2F2"/>
              <w:right w:val="single" w:sz="8" w:space="0" w:color="000000"/>
            </w:tcBorders>
            <w:shd w:val="clear" w:color="auto" w:fill="C4ECFF"/>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8.5</w:t>
            </w:r>
          </w:p>
        </w:tc>
        <w:tc>
          <w:tcPr>
            <w:tcW w:w="1829" w:type="dxa"/>
            <w:tcBorders>
              <w:top w:val="dotted" w:sz="4" w:space="0" w:color="F2F2F2"/>
              <w:left w:val="single" w:sz="8" w:space="0" w:color="000000"/>
              <w:bottom w:val="dotted" w:sz="4" w:space="0" w:color="F2F2F2"/>
              <w:right w:val="nil"/>
            </w:tcBorders>
            <w:shd w:val="clear" w:color="auto" w:fill="FFDE93"/>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56 %</w:t>
            </w:r>
          </w:p>
        </w:tc>
        <w:tc>
          <w:tcPr>
            <w:tcW w:w="1269" w:type="dxa"/>
            <w:tcBorders>
              <w:top w:val="dotted" w:sz="4" w:space="0" w:color="F2F2F2"/>
              <w:left w:val="nil"/>
              <w:bottom w:val="dotted" w:sz="4" w:space="0" w:color="F2F2F2"/>
              <w:right w:val="nil"/>
            </w:tcBorders>
            <w:shd w:val="clear" w:color="auto" w:fill="FFEEC8"/>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18 %</w:t>
            </w:r>
          </w:p>
        </w:tc>
        <w:tc>
          <w:tcPr>
            <w:tcW w:w="1829" w:type="dxa"/>
            <w:tcBorders>
              <w:top w:val="dotted" w:sz="4" w:space="0" w:color="F2F2F2"/>
              <w:left w:val="nil"/>
              <w:bottom w:val="dotted" w:sz="4" w:space="0" w:color="F2F2F2"/>
              <w:right w:val="nil"/>
            </w:tcBorders>
            <w:shd w:val="clear" w:color="auto" w:fill="CAF196"/>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22 %</w:t>
            </w:r>
          </w:p>
        </w:tc>
        <w:tc>
          <w:tcPr>
            <w:tcW w:w="1273" w:type="dxa"/>
            <w:tcBorders>
              <w:top w:val="dotted" w:sz="4" w:space="0" w:color="F2F2F2"/>
              <w:left w:val="nil"/>
              <w:bottom w:val="dotted" w:sz="4" w:space="0" w:color="F2F2F2"/>
              <w:right w:val="single" w:sz="8" w:space="0" w:color="000000"/>
            </w:tcBorders>
            <w:shd w:val="clear" w:color="auto" w:fill="E4F8CB"/>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14 %</w:t>
            </w:r>
          </w:p>
        </w:tc>
      </w:tr>
      <w:tr w:rsidR="00DF1238" w:rsidRPr="00DF1238" w:rsidTr="00770881">
        <w:trPr>
          <w:trHeight w:val="19"/>
          <w:jc w:val="center"/>
        </w:trPr>
        <w:tc>
          <w:tcPr>
            <w:tcW w:w="1498" w:type="dxa"/>
            <w:tcBorders>
              <w:top w:val="dotted" w:sz="4" w:space="0" w:color="F2F2F2"/>
              <w:left w:val="single" w:sz="8" w:space="0" w:color="000000"/>
              <w:bottom w:val="dotted" w:sz="4" w:space="0" w:color="F2F2F2"/>
              <w:right w:val="nil"/>
            </w:tcBorders>
            <w:shd w:val="clear" w:color="auto" w:fill="88D9FF"/>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b/>
                <w:bCs/>
                <w:noProof/>
                <w:color w:val="231F20"/>
                <w:sz w:val="18"/>
                <w:szCs w:val="24"/>
                <w:lang w:eastAsia="en-AU"/>
              </w:rPr>
              <w:t>1100</w:t>
            </w:r>
          </w:p>
        </w:tc>
        <w:tc>
          <w:tcPr>
            <w:tcW w:w="1546" w:type="dxa"/>
            <w:tcBorders>
              <w:top w:val="dotted" w:sz="4" w:space="0" w:color="F2F2F2"/>
              <w:left w:val="nil"/>
              <w:bottom w:val="dotted" w:sz="4" w:space="0" w:color="F2F2F2"/>
              <w:right w:val="single" w:sz="8" w:space="0" w:color="000000"/>
            </w:tcBorders>
            <w:shd w:val="clear" w:color="auto" w:fill="C4ECFF"/>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9.4</w:t>
            </w:r>
          </w:p>
        </w:tc>
        <w:tc>
          <w:tcPr>
            <w:tcW w:w="1829" w:type="dxa"/>
            <w:tcBorders>
              <w:top w:val="dotted" w:sz="4" w:space="0" w:color="F2F2F2"/>
              <w:left w:val="single" w:sz="8" w:space="0" w:color="000000"/>
              <w:bottom w:val="dotted" w:sz="4" w:space="0" w:color="F2F2F2"/>
              <w:right w:val="nil"/>
            </w:tcBorders>
            <w:shd w:val="clear" w:color="auto" w:fill="FFDE93"/>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53 %</w:t>
            </w:r>
          </w:p>
        </w:tc>
        <w:tc>
          <w:tcPr>
            <w:tcW w:w="1269" w:type="dxa"/>
            <w:tcBorders>
              <w:top w:val="dotted" w:sz="4" w:space="0" w:color="F2F2F2"/>
              <w:left w:val="nil"/>
              <w:bottom w:val="dotted" w:sz="4" w:space="0" w:color="F2F2F2"/>
              <w:right w:val="nil"/>
            </w:tcBorders>
            <w:shd w:val="clear" w:color="auto" w:fill="FFEEC8"/>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19 %</w:t>
            </w:r>
          </w:p>
        </w:tc>
        <w:tc>
          <w:tcPr>
            <w:tcW w:w="1829" w:type="dxa"/>
            <w:tcBorders>
              <w:top w:val="dotted" w:sz="4" w:space="0" w:color="F2F2F2"/>
              <w:left w:val="nil"/>
              <w:bottom w:val="dotted" w:sz="4" w:space="0" w:color="F2F2F2"/>
              <w:right w:val="nil"/>
            </w:tcBorders>
            <w:shd w:val="clear" w:color="auto" w:fill="CAF196"/>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21 %</w:t>
            </w:r>
          </w:p>
        </w:tc>
        <w:tc>
          <w:tcPr>
            <w:tcW w:w="1273" w:type="dxa"/>
            <w:tcBorders>
              <w:top w:val="dotted" w:sz="4" w:space="0" w:color="F2F2F2"/>
              <w:left w:val="nil"/>
              <w:bottom w:val="dotted" w:sz="4" w:space="0" w:color="F2F2F2"/>
              <w:right w:val="single" w:sz="8" w:space="0" w:color="000000"/>
            </w:tcBorders>
            <w:shd w:val="clear" w:color="auto" w:fill="E4F8CB"/>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15 %</w:t>
            </w:r>
          </w:p>
        </w:tc>
      </w:tr>
      <w:tr w:rsidR="00DF1238" w:rsidRPr="00DF1238" w:rsidTr="00770881">
        <w:trPr>
          <w:trHeight w:val="19"/>
          <w:jc w:val="center"/>
        </w:trPr>
        <w:tc>
          <w:tcPr>
            <w:tcW w:w="1498" w:type="dxa"/>
            <w:tcBorders>
              <w:top w:val="dotted" w:sz="4" w:space="0" w:color="F2F2F2"/>
              <w:left w:val="single" w:sz="8" w:space="0" w:color="000000"/>
              <w:bottom w:val="dotted" w:sz="4" w:space="0" w:color="F2F2F2"/>
              <w:right w:val="nil"/>
            </w:tcBorders>
            <w:shd w:val="clear" w:color="auto" w:fill="88D9FF"/>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b/>
                <w:bCs/>
                <w:noProof/>
                <w:color w:val="231F20"/>
                <w:sz w:val="18"/>
                <w:szCs w:val="24"/>
                <w:lang w:eastAsia="en-AU"/>
              </w:rPr>
              <w:t>1200</w:t>
            </w:r>
          </w:p>
        </w:tc>
        <w:tc>
          <w:tcPr>
            <w:tcW w:w="1546" w:type="dxa"/>
            <w:tcBorders>
              <w:top w:val="dotted" w:sz="4" w:space="0" w:color="F2F2F2"/>
              <w:left w:val="nil"/>
              <w:bottom w:val="dotted" w:sz="4" w:space="0" w:color="F2F2F2"/>
              <w:right w:val="single" w:sz="8" w:space="0" w:color="000000"/>
            </w:tcBorders>
            <w:shd w:val="clear" w:color="auto" w:fill="C4ECFF"/>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10.4</w:t>
            </w:r>
          </w:p>
        </w:tc>
        <w:tc>
          <w:tcPr>
            <w:tcW w:w="1829" w:type="dxa"/>
            <w:tcBorders>
              <w:top w:val="dotted" w:sz="4" w:space="0" w:color="F2F2F2"/>
              <w:left w:val="single" w:sz="8" w:space="0" w:color="000000"/>
              <w:bottom w:val="dotted" w:sz="4" w:space="0" w:color="F2F2F2"/>
              <w:right w:val="nil"/>
            </w:tcBorders>
            <w:shd w:val="clear" w:color="auto" w:fill="FFDE93"/>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50 %</w:t>
            </w:r>
          </w:p>
        </w:tc>
        <w:tc>
          <w:tcPr>
            <w:tcW w:w="1269" w:type="dxa"/>
            <w:tcBorders>
              <w:top w:val="dotted" w:sz="4" w:space="0" w:color="F2F2F2"/>
              <w:left w:val="nil"/>
              <w:bottom w:val="dotted" w:sz="4" w:space="0" w:color="F2F2F2"/>
              <w:right w:val="nil"/>
            </w:tcBorders>
            <w:shd w:val="clear" w:color="auto" w:fill="FFEEC8"/>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21 %</w:t>
            </w:r>
          </w:p>
        </w:tc>
        <w:tc>
          <w:tcPr>
            <w:tcW w:w="1829" w:type="dxa"/>
            <w:tcBorders>
              <w:top w:val="dotted" w:sz="4" w:space="0" w:color="F2F2F2"/>
              <w:left w:val="nil"/>
              <w:bottom w:val="dotted" w:sz="4" w:space="0" w:color="F2F2F2"/>
              <w:right w:val="nil"/>
            </w:tcBorders>
            <w:shd w:val="clear" w:color="auto" w:fill="CAF196"/>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20 %</w:t>
            </w:r>
          </w:p>
        </w:tc>
        <w:tc>
          <w:tcPr>
            <w:tcW w:w="1273" w:type="dxa"/>
            <w:tcBorders>
              <w:top w:val="dotted" w:sz="4" w:space="0" w:color="F2F2F2"/>
              <w:left w:val="nil"/>
              <w:bottom w:val="dotted" w:sz="4" w:space="0" w:color="F2F2F2"/>
              <w:right w:val="single" w:sz="8" w:space="0" w:color="000000"/>
            </w:tcBorders>
            <w:shd w:val="clear" w:color="auto" w:fill="E4F8CB"/>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17 %</w:t>
            </w:r>
          </w:p>
        </w:tc>
      </w:tr>
      <w:tr w:rsidR="00DF1238" w:rsidRPr="00DF1238" w:rsidTr="00770881">
        <w:trPr>
          <w:trHeight w:val="19"/>
          <w:jc w:val="center"/>
        </w:trPr>
        <w:tc>
          <w:tcPr>
            <w:tcW w:w="1498" w:type="dxa"/>
            <w:tcBorders>
              <w:top w:val="dotted" w:sz="4" w:space="0" w:color="F2F2F2"/>
              <w:left w:val="single" w:sz="8" w:space="0" w:color="000000"/>
              <w:bottom w:val="dotted" w:sz="4" w:space="0" w:color="F2F2F2"/>
              <w:right w:val="nil"/>
            </w:tcBorders>
            <w:shd w:val="clear" w:color="auto" w:fill="88D9FF"/>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b/>
                <w:bCs/>
                <w:noProof/>
                <w:color w:val="231F20"/>
                <w:sz w:val="18"/>
                <w:szCs w:val="24"/>
                <w:lang w:eastAsia="en-AU"/>
              </w:rPr>
              <w:t>1300</w:t>
            </w:r>
          </w:p>
        </w:tc>
        <w:tc>
          <w:tcPr>
            <w:tcW w:w="1546" w:type="dxa"/>
            <w:tcBorders>
              <w:top w:val="dotted" w:sz="4" w:space="0" w:color="F2F2F2"/>
              <w:left w:val="nil"/>
              <w:bottom w:val="dotted" w:sz="4" w:space="0" w:color="F2F2F2"/>
              <w:right w:val="single" w:sz="8" w:space="0" w:color="000000"/>
            </w:tcBorders>
            <w:shd w:val="clear" w:color="auto" w:fill="C4ECFF"/>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11.3</w:t>
            </w:r>
          </w:p>
        </w:tc>
        <w:tc>
          <w:tcPr>
            <w:tcW w:w="1829" w:type="dxa"/>
            <w:tcBorders>
              <w:top w:val="dotted" w:sz="4" w:space="0" w:color="F2F2F2"/>
              <w:left w:val="single" w:sz="8" w:space="0" w:color="000000"/>
              <w:bottom w:val="dotted" w:sz="4" w:space="0" w:color="F2F2F2"/>
              <w:right w:val="nil"/>
            </w:tcBorders>
            <w:shd w:val="clear" w:color="auto" w:fill="FFDE93"/>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48 %</w:t>
            </w:r>
          </w:p>
        </w:tc>
        <w:tc>
          <w:tcPr>
            <w:tcW w:w="1269" w:type="dxa"/>
            <w:tcBorders>
              <w:top w:val="dotted" w:sz="4" w:space="0" w:color="F2F2F2"/>
              <w:left w:val="nil"/>
              <w:bottom w:val="dotted" w:sz="4" w:space="0" w:color="F2F2F2"/>
              <w:right w:val="nil"/>
            </w:tcBorders>
            <w:shd w:val="clear" w:color="auto" w:fill="FFEEC8"/>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22 %</w:t>
            </w:r>
          </w:p>
        </w:tc>
        <w:tc>
          <w:tcPr>
            <w:tcW w:w="1829" w:type="dxa"/>
            <w:tcBorders>
              <w:top w:val="dotted" w:sz="4" w:space="0" w:color="F2F2F2"/>
              <w:left w:val="nil"/>
              <w:bottom w:val="dotted" w:sz="4" w:space="0" w:color="F2F2F2"/>
              <w:right w:val="nil"/>
            </w:tcBorders>
            <w:shd w:val="clear" w:color="auto" w:fill="CAF196"/>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19 %</w:t>
            </w:r>
          </w:p>
        </w:tc>
        <w:tc>
          <w:tcPr>
            <w:tcW w:w="1273" w:type="dxa"/>
            <w:tcBorders>
              <w:top w:val="dotted" w:sz="4" w:space="0" w:color="F2F2F2"/>
              <w:left w:val="nil"/>
              <w:bottom w:val="dotted" w:sz="4" w:space="0" w:color="F2F2F2"/>
              <w:right w:val="single" w:sz="8" w:space="0" w:color="000000"/>
            </w:tcBorders>
            <w:shd w:val="clear" w:color="auto" w:fill="E4F8CB"/>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18 %</w:t>
            </w:r>
          </w:p>
        </w:tc>
      </w:tr>
      <w:tr w:rsidR="00DF1238" w:rsidRPr="00DF1238" w:rsidTr="00770881">
        <w:trPr>
          <w:trHeight w:val="19"/>
          <w:jc w:val="center"/>
        </w:trPr>
        <w:tc>
          <w:tcPr>
            <w:tcW w:w="1498" w:type="dxa"/>
            <w:tcBorders>
              <w:top w:val="dotted" w:sz="4" w:space="0" w:color="F2F2F2"/>
              <w:left w:val="single" w:sz="8" w:space="0" w:color="000000"/>
              <w:bottom w:val="dotted" w:sz="4" w:space="0" w:color="F2F2F2"/>
              <w:right w:val="nil"/>
            </w:tcBorders>
            <w:shd w:val="clear" w:color="auto" w:fill="88D9FF"/>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b/>
                <w:bCs/>
                <w:noProof/>
                <w:color w:val="231F20"/>
                <w:sz w:val="18"/>
                <w:szCs w:val="24"/>
                <w:lang w:eastAsia="en-AU"/>
              </w:rPr>
              <w:t>1400</w:t>
            </w:r>
          </w:p>
        </w:tc>
        <w:tc>
          <w:tcPr>
            <w:tcW w:w="1546" w:type="dxa"/>
            <w:tcBorders>
              <w:top w:val="dotted" w:sz="4" w:space="0" w:color="F2F2F2"/>
              <w:left w:val="nil"/>
              <w:bottom w:val="dotted" w:sz="4" w:space="0" w:color="F2F2F2"/>
              <w:right w:val="single" w:sz="8" w:space="0" w:color="000000"/>
            </w:tcBorders>
            <w:shd w:val="clear" w:color="auto" w:fill="C4ECFF"/>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12.3</w:t>
            </w:r>
          </w:p>
        </w:tc>
        <w:tc>
          <w:tcPr>
            <w:tcW w:w="1829" w:type="dxa"/>
            <w:tcBorders>
              <w:top w:val="dotted" w:sz="4" w:space="0" w:color="F2F2F2"/>
              <w:left w:val="single" w:sz="8" w:space="0" w:color="000000"/>
              <w:bottom w:val="dotted" w:sz="4" w:space="0" w:color="F2F2F2"/>
              <w:right w:val="nil"/>
            </w:tcBorders>
            <w:shd w:val="clear" w:color="auto" w:fill="FFDE93"/>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46 %</w:t>
            </w:r>
          </w:p>
        </w:tc>
        <w:tc>
          <w:tcPr>
            <w:tcW w:w="1269" w:type="dxa"/>
            <w:tcBorders>
              <w:top w:val="dotted" w:sz="4" w:space="0" w:color="F2F2F2"/>
              <w:left w:val="nil"/>
              <w:bottom w:val="dotted" w:sz="4" w:space="0" w:color="F2F2F2"/>
              <w:right w:val="nil"/>
            </w:tcBorders>
            <w:shd w:val="clear" w:color="auto" w:fill="FFEEC8"/>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23 %</w:t>
            </w:r>
          </w:p>
        </w:tc>
        <w:tc>
          <w:tcPr>
            <w:tcW w:w="1829" w:type="dxa"/>
            <w:tcBorders>
              <w:top w:val="dotted" w:sz="4" w:space="0" w:color="F2F2F2"/>
              <w:left w:val="nil"/>
              <w:bottom w:val="dotted" w:sz="4" w:space="0" w:color="F2F2F2"/>
              <w:right w:val="nil"/>
            </w:tcBorders>
            <w:shd w:val="clear" w:color="auto" w:fill="CAF196"/>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18 %</w:t>
            </w:r>
          </w:p>
        </w:tc>
        <w:tc>
          <w:tcPr>
            <w:tcW w:w="1273" w:type="dxa"/>
            <w:tcBorders>
              <w:top w:val="dotted" w:sz="4" w:space="0" w:color="F2F2F2"/>
              <w:left w:val="nil"/>
              <w:bottom w:val="dotted" w:sz="4" w:space="0" w:color="F2F2F2"/>
              <w:right w:val="single" w:sz="8" w:space="0" w:color="000000"/>
            </w:tcBorders>
            <w:shd w:val="clear" w:color="auto" w:fill="E4F8CB"/>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18 %</w:t>
            </w:r>
          </w:p>
        </w:tc>
      </w:tr>
      <w:tr w:rsidR="00DF1238" w:rsidRPr="00DF1238" w:rsidTr="00770881">
        <w:trPr>
          <w:trHeight w:val="19"/>
          <w:jc w:val="center"/>
        </w:trPr>
        <w:tc>
          <w:tcPr>
            <w:tcW w:w="1498" w:type="dxa"/>
            <w:tcBorders>
              <w:top w:val="dotted" w:sz="4" w:space="0" w:color="F2F2F2"/>
              <w:left w:val="single" w:sz="8" w:space="0" w:color="000000"/>
              <w:bottom w:val="dotted" w:sz="4" w:space="0" w:color="F2F2F2"/>
              <w:right w:val="nil"/>
            </w:tcBorders>
            <w:shd w:val="clear" w:color="auto" w:fill="88D9FF"/>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b/>
                <w:bCs/>
                <w:noProof/>
                <w:color w:val="231F20"/>
                <w:sz w:val="18"/>
                <w:szCs w:val="24"/>
                <w:lang w:eastAsia="en-AU"/>
              </w:rPr>
              <w:t>1500</w:t>
            </w:r>
          </w:p>
        </w:tc>
        <w:tc>
          <w:tcPr>
            <w:tcW w:w="1546" w:type="dxa"/>
            <w:tcBorders>
              <w:top w:val="dotted" w:sz="4" w:space="0" w:color="F2F2F2"/>
              <w:left w:val="nil"/>
              <w:bottom w:val="dotted" w:sz="4" w:space="0" w:color="F2F2F2"/>
              <w:right w:val="single" w:sz="8" w:space="0" w:color="000000"/>
            </w:tcBorders>
            <w:shd w:val="clear" w:color="auto" w:fill="C4ECFF"/>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13.3</w:t>
            </w:r>
          </w:p>
        </w:tc>
        <w:tc>
          <w:tcPr>
            <w:tcW w:w="1829" w:type="dxa"/>
            <w:tcBorders>
              <w:top w:val="dotted" w:sz="4" w:space="0" w:color="F2F2F2"/>
              <w:left w:val="single" w:sz="8" w:space="0" w:color="000000"/>
              <w:bottom w:val="dotted" w:sz="4" w:space="0" w:color="F2F2F2"/>
              <w:right w:val="nil"/>
            </w:tcBorders>
            <w:shd w:val="clear" w:color="auto" w:fill="FFDE93"/>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44 %</w:t>
            </w:r>
          </w:p>
        </w:tc>
        <w:tc>
          <w:tcPr>
            <w:tcW w:w="1269" w:type="dxa"/>
            <w:tcBorders>
              <w:top w:val="dotted" w:sz="4" w:space="0" w:color="F2F2F2"/>
              <w:left w:val="nil"/>
              <w:bottom w:val="dotted" w:sz="4" w:space="0" w:color="F2F2F2"/>
              <w:right w:val="nil"/>
            </w:tcBorders>
            <w:shd w:val="clear" w:color="auto" w:fill="FFEEC8"/>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25 %</w:t>
            </w:r>
          </w:p>
        </w:tc>
        <w:tc>
          <w:tcPr>
            <w:tcW w:w="1829" w:type="dxa"/>
            <w:tcBorders>
              <w:top w:val="dotted" w:sz="4" w:space="0" w:color="F2F2F2"/>
              <w:left w:val="nil"/>
              <w:bottom w:val="dotted" w:sz="4" w:space="0" w:color="F2F2F2"/>
              <w:right w:val="nil"/>
            </w:tcBorders>
            <w:shd w:val="clear" w:color="auto" w:fill="CAF196"/>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18 %</w:t>
            </w:r>
          </w:p>
        </w:tc>
        <w:tc>
          <w:tcPr>
            <w:tcW w:w="1273" w:type="dxa"/>
            <w:tcBorders>
              <w:top w:val="dotted" w:sz="4" w:space="0" w:color="F2F2F2"/>
              <w:left w:val="nil"/>
              <w:bottom w:val="dotted" w:sz="4" w:space="0" w:color="F2F2F2"/>
              <w:right w:val="single" w:sz="8" w:space="0" w:color="000000"/>
            </w:tcBorders>
            <w:shd w:val="clear" w:color="auto" w:fill="E4F8CB"/>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20 %</w:t>
            </w:r>
          </w:p>
        </w:tc>
      </w:tr>
      <w:tr w:rsidR="00DF1238" w:rsidRPr="00DF1238" w:rsidTr="00770881">
        <w:trPr>
          <w:trHeight w:val="19"/>
          <w:jc w:val="center"/>
        </w:trPr>
        <w:tc>
          <w:tcPr>
            <w:tcW w:w="1498" w:type="dxa"/>
            <w:tcBorders>
              <w:top w:val="dotted" w:sz="4" w:space="0" w:color="F2F2F2"/>
              <w:left w:val="single" w:sz="8" w:space="0" w:color="000000"/>
              <w:bottom w:val="dotted" w:sz="4" w:space="0" w:color="F2F2F2"/>
              <w:right w:val="nil"/>
            </w:tcBorders>
            <w:shd w:val="clear" w:color="auto" w:fill="88D9FF"/>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b/>
                <w:bCs/>
                <w:noProof/>
                <w:color w:val="231F20"/>
                <w:sz w:val="18"/>
                <w:szCs w:val="24"/>
                <w:lang w:eastAsia="en-AU"/>
              </w:rPr>
              <w:t>1600</w:t>
            </w:r>
          </w:p>
        </w:tc>
        <w:tc>
          <w:tcPr>
            <w:tcW w:w="1546" w:type="dxa"/>
            <w:tcBorders>
              <w:top w:val="dotted" w:sz="4" w:space="0" w:color="F2F2F2"/>
              <w:left w:val="nil"/>
              <w:bottom w:val="dotted" w:sz="4" w:space="0" w:color="F2F2F2"/>
              <w:right w:val="single" w:sz="8" w:space="0" w:color="000000"/>
            </w:tcBorders>
            <w:shd w:val="clear" w:color="auto" w:fill="C4ECFF"/>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14.2</w:t>
            </w:r>
          </w:p>
        </w:tc>
        <w:tc>
          <w:tcPr>
            <w:tcW w:w="1829" w:type="dxa"/>
            <w:tcBorders>
              <w:top w:val="dotted" w:sz="4" w:space="0" w:color="F2F2F2"/>
              <w:left w:val="single" w:sz="8" w:space="0" w:color="000000"/>
              <w:bottom w:val="dotted" w:sz="4" w:space="0" w:color="F2F2F2"/>
              <w:right w:val="nil"/>
            </w:tcBorders>
            <w:shd w:val="clear" w:color="auto" w:fill="FFDE93"/>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42 %</w:t>
            </w:r>
          </w:p>
        </w:tc>
        <w:tc>
          <w:tcPr>
            <w:tcW w:w="1269" w:type="dxa"/>
            <w:tcBorders>
              <w:top w:val="dotted" w:sz="4" w:space="0" w:color="F2F2F2"/>
              <w:left w:val="nil"/>
              <w:bottom w:val="dotted" w:sz="4" w:space="0" w:color="F2F2F2"/>
              <w:right w:val="nil"/>
            </w:tcBorders>
            <w:shd w:val="clear" w:color="auto" w:fill="FFEEC8"/>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26 %</w:t>
            </w:r>
          </w:p>
        </w:tc>
        <w:tc>
          <w:tcPr>
            <w:tcW w:w="1829" w:type="dxa"/>
            <w:tcBorders>
              <w:top w:val="dotted" w:sz="4" w:space="0" w:color="F2F2F2"/>
              <w:left w:val="nil"/>
              <w:bottom w:val="dotted" w:sz="4" w:space="0" w:color="F2F2F2"/>
              <w:right w:val="nil"/>
            </w:tcBorders>
            <w:shd w:val="clear" w:color="auto" w:fill="CAF196"/>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17 %</w:t>
            </w:r>
          </w:p>
        </w:tc>
        <w:tc>
          <w:tcPr>
            <w:tcW w:w="1273" w:type="dxa"/>
            <w:tcBorders>
              <w:top w:val="dotted" w:sz="4" w:space="0" w:color="F2F2F2"/>
              <w:left w:val="nil"/>
              <w:bottom w:val="dotted" w:sz="4" w:space="0" w:color="F2F2F2"/>
              <w:right w:val="single" w:sz="8" w:space="0" w:color="000000"/>
            </w:tcBorders>
            <w:shd w:val="clear" w:color="auto" w:fill="E4F8CB"/>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21 %</w:t>
            </w:r>
          </w:p>
        </w:tc>
      </w:tr>
      <w:tr w:rsidR="00DF1238" w:rsidRPr="00DF1238" w:rsidTr="00770881">
        <w:trPr>
          <w:trHeight w:val="19"/>
          <w:jc w:val="center"/>
        </w:trPr>
        <w:tc>
          <w:tcPr>
            <w:tcW w:w="1498" w:type="dxa"/>
            <w:tcBorders>
              <w:top w:val="dotted" w:sz="4" w:space="0" w:color="F2F2F2"/>
              <w:left w:val="single" w:sz="8" w:space="0" w:color="000000"/>
              <w:bottom w:val="dotted" w:sz="4" w:space="0" w:color="F2F2F2"/>
              <w:right w:val="nil"/>
            </w:tcBorders>
            <w:shd w:val="clear" w:color="auto" w:fill="88D9FF"/>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b/>
                <w:bCs/>
                <w:noProof/>
                <w:color w:val="231F20"/>
                <w:sz w:val="18"/>
                <w:szCs w:val="24"/>
                <w:lang w:eastAsia="en-AU"/>
              </w:rPr>
              <w:t>1700</w:t>
            </w:r>
          </w:p>
        </w:tc>
        <w:tc>
          <w:tcPr>
            <w:tcW w:w="1546" w:type="dxa"/>
            <w:tcBorders>
              <w:top w:val="dotted" w:sz="4" w:space="0" w:color="F2F2F2"/>
              <w:left w:val="nil"/>
              <w:bottom w:val="dotted" w:sz="4" w:space="0" w:color="F2F2F2"/>
              <w:right w:val="single" w:sz="8" w:space="0" w:color="000000"/>
            </w:tcBorders>
            <w:shd w:val="clear" w:color="auto" w:fill="C4ECFF"/>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15.2</w:t>
            </w:r>
          </w:p>
        </w:tc>
        <w:tc>
          <w:tcPr>
            <w:tcW w:w="1829" w:type="dxa"/>
            <w:tcBorders>
              <w:top w:val="dotted" w:sz="4" w:space="0" w:color="F2F2F2"/>
              <w:left w:val="single" w:sz="8" w:space="0" w:color="000000"/>
              <w:bottom w:val="dotted" w:sz="4" w:space="0" w:color="F2F2F2"/>
              <w:right w:val="nil"/>
            </w:tcBorders>
            <w:shd w:val="clear" w:color="auto" w:fill="FFDE93"/>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40 %</w:t>
            </w:r>
          </w:p>
        </w:tc>
        <w:tc>
          <w:tcPr>
            <w:tcW w:w="1269" w:type="dxa"/>
            <w:tcBorders>
              <w:top w:val="dotted" w:sz="4" w:space="0" w:color="F2F2F2"/>
              <w:left w:val="nil"/>
              <w:bottom w:val="dotted" w:sz="4" w:space="0" w:color="F2F2F2"/>
              <w:right w:val="nil"/>
            </w:tcBorders>
            <w:shd w:val="clear" w:color="auto" w:fill="FFEEC8"/>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27 %</w:t>
            </w:r>
          </w:p>
        </w:tc>
        <w:tc>
          <w:tcPr>
            <w:tcW w:w="1829" w:type="dxa"/>
            <w:tcBorders>
              <w:top w:val="dotted" w:sz="4" w:space="0" w:color="F2F2F2"/>
              <w:left w:val="nil"/>
              <w:bottom w:val="dotted" w:sz="4" w:space="0" w:color="F2F2F2"/>
              <w:right w:val="nil"/>
            </w:tcBorders>
            <w:shd w:val="clear" w:color="auto" w:fill="CAF196"/>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16 %</w:t>
            </w:r>
          </w:p>
        </w:tc>
        <w:tc>
          <w:tcPr>
            <w:tcW w:w="1273" w:type="dxa"/>
            <w:tcBorders>
              <w:top w:val="dotted" w:sz="4" w:space="0" w:color="F2F2F2"/>
              <w:left w:val="nil"/>
              <w:bottom w:val="dotted" w:sz="4" w:space="0" w:color="F2F2F2"/>
              <w:right w:val="single" w:sz="8" w:space="0" w:color="000000"/>
            </w:tcBorders>
            <w:shd w:val="clear" w:color="auto" w:fill="E4F8CB"/>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22 %</w:t>
            </w:r>
          </w:p>
        </w:tc>
      </w:tr>
      <w:tr w:rsidR="00DF1238" w:rsidRPr="00DF1238" w:rsidTr="00770881">
        <w:trPr>
          <w:trHeight w:val="19"/>
          <w:jc w:val="center"/>
        </w:trPr>
        <w:tc>
          <w:tcPr>
            <w:tcW w:w="1498" w:type="dxa"/>
            <w:tcBorders>
              <w:top w:val="dotted" w:sz="4" w:space="0" w:color="F2F2F2"/>
              <w:left w:val="single" w:sz="8" w:space="0" w:color="000000"/>
              <w:bottom w:val="single" w:sz="8" w:space="0" w:color="000000"/>
              <w:right w:val="nil"/>
            </w:tcBorders>
            <w:shd w:val="clear" w:color="auto" w:fill="88D9FF"/>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b/>
                <w:bCs/>
                <w:noProof/>
                <w:color w:val="231F20"/>
                <w:sz w:val="18"/>
                <w:szCs w:val="24"/>
                <w:lang w:eastAsia="en-AU"/>
              </w:rPr>
              <w:t>1800</w:t>
            </w:r>
          </w:p>
        </w:tc>
        <w:tc>
          <w:tcPr>
            <w:tcW w:w="1546" w:type="dxa"/>
            <w:tcBorders>
              <w:top w:val="dotted" w:sz="4" w:space="0" w:color="F2F2F2"/>
              <w:left w:val="nil"/>
              <w:bottom w:val="single" w:sz="8" w:space="0" w:color="000000"/>
              <w:right w:val="single" w:sz="8" w:space="0" w:color="000000"/>
            </w:tcBorders>
            <w:shd w:val="clear" w:color="auto" w:fill="C4ECFF"/>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16.2</w:t>
            </w:r>
          </w:p>
        </w:tc>
        <w:tc>
          <w:tcPr>
            <w:tcW w:w="1829" w:type="dxa"/>
            <w:tcBorders>
              <w:top w:val="dotted" w:sz="4" w:space="0" w:color="F2F2F2"/>
              <w:left w:val="single" w:sz="8" w:space="0" w:color="000000"/>
              <w:bottom w:val="single" w:sz="8" w:space="0" w:color="000000"/>
              <w:right w:val="nil"/>
            </w:tcBorders>
            <w:shd w:val="clear" w:color="auto" w:fill="FFDE93"/>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38 %</w:t>
            </w:r>
          </w:p>
        </w:tc>
        <w:tc>
          <w:tcPr>
            <w:tcW w:w="1269" w:type="dxa"/>
            <w:tcBorders>
              <w:top w:val="dotted" w:sz="4" w:space="0" w:color="F2F2F2"/>
              <w:left w:val="nil"/>
              <w:bottom w:val="single" w:sz="8" w:space="0" w:color="000000"/>
              <w:right w:val="nil"/>
            </w:tcBorders>
            <w:shd w:val="clear" w:color="auto" w:fill="FFEEC8"/>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28 %</w:t>
            </w:r>
          </w:p>
        </w:tc>
        <w:tc>
          <w:tcPr>
            <w:tcW w:w="1829" w:type="dxa"/>
            <w:tcBorders>
              <w:top w:val="dotted" w:sz="4" w:space="0" w:color="F2F2F2"/>
              <w:left w:val="nil"/>
              <w:bottom w:val="single" w:sz="8" w:space="0" w:color="000000"/>
              <w:right w:val="nil"/>
            </w:tcBorders>
            <w:shd w:val="clear" w:color="auto" w:fill="CAF196"/>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15 %</w:t>
            </w:r>
          </w:p>
        </w:tc>
        <w:tc>
          <w:tcPr>
            <w:tcW w:w="1273" w:type="dxa"/>
            <w:tcBorders>
              <w:top w:val="dotted" w:sz="4" w:space="0" w:color="F2F2F2"/>
              <w:left w:val="nil"/>
              <w:bottom w:val="single" w:sz="8" w:space="0" w:color="000000"/>
              <w:right w:val="single" w:sz="8" w:space="0" w:color="000000"/>
            </w:tcBorders>
            <w:shd w:val="clear" w:color="auto" w:fill="E4F8CB"/>
            <w:tcMar>
              <w:top w:w="15" w:type="dxa"/>
              <w:left w:w="15" w:type="dxa"/>
              <w:bottom w:w="0" w:type="dxa"/>
              <w:right w:w="15" w:type="dxa"/>
            </w:tcMar>
            <w:vAlign w:val="center"/>
            <w:hideMark/>
          </w:tcPr>
          <w:p w:rsidR="00DF1238" w:rsidRPr="00DF1238" w:rsidRDefault="00DF1238" w:rsidP="00DF1238">
            <w:pPr>
              <w:spacing w:after="0" w:line="320" w:lineRule="atLeast"/>
              <w:jc w:val="center"/>
              <w:rPr>
                <w:rFonts w:ascii="Verdana" w:eastAsia="Times New Roman" w:hAnsi="Verdana" w:cs="Times New Roman"/>
                <w:noProof/>
                <w:color w:val="231F20"/>
                <w:sz w:val="18"/>
                <w:szCs w:val="24"/>
                <w:lang w:eastAsia="en-AU"/>
              </w:rPr>
            </w:pPr>
            <w:r w:rsidRPr="00DF1238">
              <w:rPr>
                <w:rFonts w:ascii="Verdana" w:eastAsia="Times New Roman" w:hAnsi="Verdana" w:cs="Times New Roman"/>
                <w:noProof/>
                <w:color w:val="231F20"/>
                <w:sz w:val="18"/>
                <w:szCs w:val="24"/>
                <w:lang w:eastAsia="en-AU"/>
              </w:rPr>
              <w:t>22 %</w:t>
            </w:r>
          </w:p>
        </w:tc>
      </w:tr>
    </w:tbl>
    <w:p w:rsidR="00DF1238" w:rsidRPr="00DF1238" w:rsidRDefault="00DF1238" w:rsidP="00DF1238">
      <w:pPr>
        <w:spacing w:after="0" w:line="320" w:lineRule="atLeast"/>
        <w:rPr>
          <w:rFonts w:ascii="Verdana" w:eastAsia="Times New Roman" w:hAnsi="Verdana" w:cs="Times New Roman"/>
          <w:color w:val="231F20"/>
          <w:sz w:val="18"/>
          <w:szCs w:val="24"/>
          <w:lang w:eastAsia="en-AU"/>
        </w:rPr>
      </w:pPr>
      <w:r w:rsidRPr="00DF1238">
        <w:rPr>
          <w:rFonts w:ascii="Verdana" w:eastAsia="Verdana" w:hAnsi="Verdana" w:cs="Times New Roman"/>
          <w:i/>
          <w:iCs/>
          <w:color w:val="00428B"/>
          <w:sz w:val="16"/>
          <w:szCs w:val="24"/>
          <w:lang w:eastAsia="fr-CA"/>
        </w:rPr>
        <w:t xml:space="preserve">Figure A. </w:t>
      </w:r>
      <w:r w:rsidRPr="00DF1238">
        <w:rPr>
          <w:rFonts w:ascii="Verdana" w:eastAsia="Verdana" w:hAnsi="Verdana" w:cs="Times New Roman"/>
          <w:bCs/>
          <w:i/>
          <w:iCs/>
          <w:color w:val="00428B"/>
          <w:sz w:val="16"/>
          <w:szCs w:val="24"/>
          <w:lang w:eastAsia="fr-CA"/>
        </w:rPr>
        <w:t>Quantitative performance objectives for urban stormwater</w:t>
      </w:r>
      <w:r w:rsidRPr="00DF1238">
        <w:rPr>
          <w:rFonts w:ascii="Verdana" w:eastAsia="Verdana" w:hAnsi="Verdana" w:cs="Times New Roman"/>
          <w:i/>
          <w:iCs/>
          <w:color w:val="00428B"/>
          <w:sz w:val="16"/>
          <w:szCs w:val="24"/>
          <w:lang w:eastAsia="fr-CA"/>
        </w:rPr>
        <w:t xml:space="preserve"> across Victoria</w:t>
      </w:r>
    </w:p>
    <w:p w:rsidR="00DF1238" w:rsidRPr="00DF1238" w:rsidRDefault="00DF1238" w:rsidP="00DF1238">
      <w:pPr>
        <w:rPr>
          <w:lang w:eastAsia="en-AU"/>
        </w:rPr>
      </w:pPr>
    </w:p>
    <w:p w:rsidR="00FF6450" w:rsidRDefault="00FB007F"/>
    <w:sectPr w:rsidR="00FF645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1238" w:rsidRDefault="00DF1238" w:rsidP="00DF1238">
      <w:pPr>
        <w:spacing w:after="0" w:line="240" w:lineRule="auto"/>
      </w:pPr>
      <w:r>
        <w:separator/>
      </w:r>
    </w:p>
  </w:endnote>
  <w:endnote w:type="continuationSeparator" w:id="0">
    <w:p w:rsidR="00DF1238" w:rsidRDefault="00DF1238" w:rsidP="00DF1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07F" w:rsidRDefault="00FB00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07F" w:rsidRDefault="00FB00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238" w:rsidRPr="00C559A6" w:rsidRDefault="00DF1238" w:rsidP="00C559A6">
    <w:pPr>
      <w:pStyle w:val="FooterLine"/>
    </w:pPr>
  </w:p>
  <w:p w:rsidR="00DF1238" w:rsidRPr="00971126" w:rsidRDefault="00DF1238" w:rsidP="00C559A6">
    <w:pPr>
      <w:pStyle w:val="Foo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FB007F">
      <w:t>1</w:t>
    </w:r>
    <w:r>
      <w:rPr>
        <w:color w:val="2B579A"/>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1238" w:rsidRDefault="00DF1238" w:rsidP="00DF1238">
      <w:pPr>
        <w:spacing w:after="0" w:line="240" w:lineRule="auto"/>
      </w:pPr>
      <w:r>
        <w:separator/>
      </w:r>
    </w:p>
  </w:footnote>
  <w:footnote w:type="continuationSeparator" w:id="0">
    <w:p w:rsidR="00DF1238" w:rsidRDefault="00DF1238" w:rsidP="00DF1238">
      <w:pPr>
        <w:spacing w:after="0" w:line="240" w:lineRule="auto"/>
      </w:pPr>
      <w:r>
        <w:continuationSeparator/>
      </w:r>
    </w:p>
  </w:footnote>
  <w:footnote w:id="1">
    <w:p w:rsidR="00DF1238" w:rsidRPr="001E1901" w:rsidRDefault="00DF1238" w:rsidP="00DF1238">
      <w:pPr>
        <w:pStyle w:val="FootnoteText"/>
        <w:rPr>
          <w:sz w:val="14"/>
          <w:szCs w:val="14"/>
        </w:rPr>
      </w:pPr>
      <w:r>
        <w:rPr>
          <w:rStyle w:val="FootnoteReference"/>
        </w:rPr>
        <w:footnoteRef/>
      </w:r>
      <w:r>
        <w:t xml:space="preserve"> </w:t>
      </w:r>
      <w:r>
        <w:rPr>
          <w:sz w:val="14"/>
          <w:szCs w:val="14"/>
        </w:rPr>
        <w:t xml:space="preserve">Priority areas harvesting target provides direct alignment between the HWS, EPA </w:t>
      </w:r>
      <w:r w:rsidRPr="00B50DB8">
        <w:rPr>
          <w:i/>
          <w:sz w:val="14"/>
          <w:szCs w:val="14"/>
        </w:rPr>
        <w:t>Urban stormwater management guidance</w:t>
      </w:r>
      <w:r>
        <w:rPr>
          <w:sz w:val="14"/>
          <w:szCs w:val="14"/>
        </w:rPr>
        <w:t xml:space="preserve"> and UDIA </w:t>
      </w:r>
      <w:r w:rsidRPr="00B50DB8">
        <w:rPr>
          <w:i/>
          <w:sz w:val="14"/>
          <w:szCs w:val="14"/>
        </w:rPr>
        <w:t>EnviroDevelopment Technical Standards</w:t>
      </w:r>
      <w:r>
        <w:rPr>
          <w:sz w:val="14"/>
          <w:szCs w:val="14"/>
        </w:rPr>
        <w:t>.</w:t>
      </w:r>
    </w:p>
  </w:footnote>
  <w:footnote w:id="2">
    <w:p w:rsidR="00DF1238" w:rsidRPr="00D12F75" w:rsidRDefault="00DF1238" w:rsidP="00DF1238">
      <w:pPr>
        <w:pStyle w:val="FootnoteText"/>
        <w:rPr>
          <w:sz w:val="18"/>
        </w:rPr>
      </w:pPr>
      <w:r w:rsidRPr="00D12F75">
        <w:rPr>
          <w:rStyle w:val="FootnoteReference"/>
          <w:sz w:val="18"/>
        </w:rPr>
        <w:footnoteRef/>
      </w:r>
      <w:r w:rsidRPr="00D12F75">
        <w:rPr>
          <w:sz w:val="18"/>
        </w:rPr>
        <w:t xml:space="preserve"> </w:t>
      </w:r>
      <w:r w:rsidRPr="00DF1238">
        <w:rPr>
          <w:rFonts w:ascii="Verdana" w:hAnsi="Verdana"/>
          <w:sz w:val="14"/>
          <w:szCs w:val="16"/>
          <w:lang w:val="en-US"/>
        </w:rPr>
        <w:t xml:space="preserve">Priority areas infiltration targets correspond with the bottom of the infiltration curve in </w:t>
      </w:r>
      <w:r w:rsidRPr="00DF1238">
        <w:rPr>
          <w:rFonts w:ascii="Verdana" w:hAnsi="Verdana"/>
          <w:sz w:val="14"/>
          <w:szCs w:val="16"/>
          <w:lang w:val="en-US"/>
        </w:rPr>
        <w:fldChar w:fldCharType="begin"/>
      </w:r>
      <w:r w:rsidRPr="00DF1238">
        <w:rPr>
          <w:rFonts w:ascii="Verdana" w:hAnsi="Verdana"/>
          <w:sz w:val="14"/>
          <w:szCs w:val="16"/>
          <w:lang w:val="en-US"/>
        </w:rPr>
        <w:instrText xml:space="preserve"> REF _Ref68163256 \h  \* MERGEFORMAT </w:instrText>
      </w:r>
      <w:r w:rsidRPr="00DF1238">
        <w:rPr>
          <w:rFonts w:ascii="Verdana" w:hAnsi="Verdana"/>
          <w:sz w:val="14"/>
          <w:szCs w:val="16"/>
          <w:lang w:val="en-US"/>
        </w:rPr>
      </w:r>
      <w:r w:rsidRPr="00DF1238">
        <w:rPr>
          <w:rFonts w:ascii="Verdana" w:hAnsi="Verdana"/>
          <w:sz w:val="14"/>
          <w:szCs w:val="16"/>
          <w:lang w:val="en-US"/>
        </w:rPr>
        <w:fldChar w:fldCharType="separate"/>
      </w:r>
      <w:r w:rsidRPr="00DF1238">
        <w:rPr>
          <w:rFonts w:ascii="Verdana" w:hAnsi="Verdana"/>
          <w:sz w:val="14"/>
          <w:szCs w:val="16"/>
          <w:lang w:val="en-US"/>
        </w:rPr>
        <w:t>Figure 1</w:t>
      </w:r>
      <w:r w:rsidRPr="00DF1238">
        <w:rPr>
          <w:rFonts w:ascii="Verdana" w:hAnsi="Verdana"/>
          <w:sz w:val="14"/>
          <w:szCs w:val="16"/>
        </w:rPr>
        <w:fldChar w:fldCharType="end"/>
      </w:r>
      <w:r w:rsidRPr="00DF1238">
        <w:rPr>
          <w:rFonts w:ascii="Verdana" w:hAnsi="Verdana"/>
          <w:sz w:val="14"/>
          <w:szCs w:val="16"/>
        </w:rPr>
        <w:t>.</w:t>
      </w:r>
    </w:p>
  </w:footnote>
  <w:footnote w:id="3">
    <w:p w:rsidR="00DF1238" w:rsidRPr="00D12F75" w:rsidRDefault="00DF1238" w:rsidP="00DF1238">
      <w:pPr>
        <w:pStyle w:val="FootnoteText"/>
        <w:rPr>
          <w:sz w:val="18"/>
        </w:rPr>
      </w:pPr>
      <w:r w:rsidRPr="00D12F75">
        <w:rPr>
          <w:rStyle w:val="FootnoteReference"/>
          <w:sz w:val="16"/>
        </w:rPr>
        <w:footnoteRef/>
      </w:r>
      <w:r w:rsidRPr="00D12F75">
        <w:rPr>
          <w:sz w:val="16"/>
        </w:rPr>
        <w:t xml:space="preserve"> </w:t>
      </w:r>
      <w:r>
        <w:rPr>
          <w:sz w:val="14"/>
        </w:rPr>
        <w:t xml:space="preserve">Other </w:t>
      </w:r>
      <w:r w:rsidRPr="00D12F75">
        <w:rPr>
          <w:sz w:val="14"/>
        </w:rPr>
        <w:t>areas</w:t>
      </w:r>
      <w:r>
        <w:rPr>
          <w:sz w:val="14"/>
        </w:rPr>
        <w:t xml:space="preserve"> harvesting</w:t>
      </w:r>
      <w:r w:rsidRPr="00D12F75">
        <w:rPr>
          <w:sz w:val="14"/>
        </w:rPr>
        <w:t xml:space="preserve"> targets are defined as being </w:t>
      </w:r>
      <w:r>
        <w:rPr>
          <w:sz w:val="14"/>
        </w:rPr>
        <w:t>4</w:t>
      </w:r>
      <w:r w:rsidRPr="00D12F75">
        <w:rPr>
          <w:sz w:val="14"/>
        </w:rPr>
        <w:t xml:space="preserve">0% of the target in priority areas. </w:t>
      </w:r>
    </w:p>
  </w:footnote>
  <w:footnote w:id="4">
    <w:p w:rsidR="00DF1238" w:rsidRDefault="00DF1238" w:rsidP="00DF1238">
      <w:pPr>
        <w:pStyle w:val="FootnoteText"/>
      </w:pPr>
      <w:r w:rsidRPr="00D12F75">
        <w:rPr>
          <w:rStyle w:val="FootnoteReference"/>
          <w:sz w:val="18"/>
        </w:rPr>
        <w:footnoteRef/>
      </w:r>
      <w:r w:rsidRPr="00D12F75">
        <w:rPr>
          <w:sz w:val="18"/>
        </w:rPr>
        <w:t xml:space="preserve"> </w:t>
      </w:r>
      <w:r>
        <w:rPr>
          <w:sz w:val="14"/>
          <w:szCs w:val="14"/>
        </w:rPr>
        <w:t xml:space="preserve">Other </w:t>
      </w:r>
      <w:r w:rsidRPr="00DF1238">
        <w:rPr>
          <w:rFonts w:ascii="Verdana" w:hAnsi="Verdana"/>
          <w:sz w:val="14"/>
        </w:rPr>
        <w:t>areas infiltration target corresponds to 80% of the target in priority areas.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07F" w:rsidRDefault="00FB00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238" w:rsidRPr="00971126" w:rsidRDefault="00FB007F" w:rsidP="00971126">
    <w:pPr>
      <w:pStyle w:val="Header"/>
    </w:pPr>
    <w:r>
      <w:rPr>
        <w:b/>
        <w:noProof/>
        <w:color w:val="2B579A"/>
        <w:lang w:eastAsia="en-AU"/>
      </w:rPr>
      <mc:AlternateContent>
        <mc:Choice Requires="wps">
          <w:drawing>
            <wp:anchor distT="0" distB="0" distL="114300" distR="114300" simplePos="0" relativeHeight="251660799" behindDoc="0" locked="0" layoutInCell="0" allowOverlap="1">
              <wp:simplePos x="0" y="0"/>
              <wp:positionH relativeFrom="page">
                <wp:align>center</wp:align>
              </wp:positionH>
              <wp:positionV relativeFrom="page">
                <wp:align>top</wp:align>
              </wp:positionV>
              <wp:extent cx="7772400" cy="463550"/>
              <wp:effectExtent l="0" t="0" r="0" b="12700"/>
              <wp:wrapNone/>
              <wp:docPr id="1" name="MSIPCMc715446a9a032ff6440baddd" descr="{&quot;HashCode&quot;:431517927,&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B007F" w:rsidRPr="00FB007F" w:rsidRDefault="00FB007F" w:rsidP="00FB007F">
                          <w:pPr>
                            <w:spacing w:after="0"/>
                            <w:jc w:val="center"/>
                            <w:rPr>
                              <w:rFonts w:ascii="Calibri" w:hAnsi="Calibri" w:cs="Calibri"/>
                              <w:color w:val="FF0000"/>
                              <w:sz w:val="28"/>
                            </w:rPr>
                          </w:pPr>
                          <w:r w:rsidRPr="00FB007F">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c715446a9a032ff6440baddd" o:spid="_x0000_s1028" type="#_x0000_t202" alt="{&quot;HashCode&quot;:431517927,&quot;Height&quot;:9999999.0,&quot;Width&quot;:9999999.0,&quot;Placement&quot;:&quot;Header&quot;,&quot;Index&quot;:&quot;Primary&quot;,&quot;Section&quot;:1,&quot;Top&quot;:0.0,&quot;Left&quot;:0.0}" style="position:absolute;margin-left:0;margin-top:0;width:612pt;height:36.5pt;z-index:251660799;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7idFwMAAD8GAAAOAAAAZHJzL2Uyb0RvYy54bWysVN9v2zYQfh/Q/0HgQ5/mSHJkO3KjFIkD&#10;rwHc1oAz5JkmqYiYRKokHSsr+r/vIyW5SbcBw1A9UMe74/387i7fd00dPQljpVYFSc8SEgnFNJfq&#10;sSC/368nFySyjipOa61EQZ6FJe+v3vxyeWyXYqorXXNhIhhRdnlsC1I51y7j2LJKNNSe6VYoCEtt&#10;GupwNY8xN/QI600dT5NkHh+14a3RTFgL7m0vJFfBflkK5j6XpRUuqguC2Fw4TTj3/oyvLuny0dC2&#10;kmwIg/6PKBoqFZyeTN1SR6ODkX8z1UhmtNWlO2O6iXVZSiZCDsgmTX7IZlfRVoRcUBzbnspkf55Z&#10;9ulpayLJ0TsSKdqgRR93d9vVR7ZIZ1k2pzlNzqdlOc+yZE855yTiwjJU8OvbLwft3n2gtlppLvrb&#10;MjtPZ+kiny5+HcRCPlZuEOb9d5YMwgfJXfUvsm1NmWiEGt+O5ijw0tODkTvFRTcY6X9bIxtqnl9p&#10;7YAEQHTQS4e397odOMkpqI0oR59gfvMIObZ2iULtWpTKdTe689Ua+BZM3/iuNI3/o6UR5MDa8wlf&#10;onMRA3OxWEyzBCIGWTY/n80CAOPvr1tj3W9CN5EnCmIQdYAVfdpYB49QHVW8M6XXsq4DhmsVHQsC&#10;m0l4cJLgRa28LoKAjYHqsfk1TxHPzTSfrOcXi0m2zmaTfJFcTJI0v8nnSZZnt+tv3l6aLSvJuVAb&#10;qcQ4J2n233A4TGyP8DApr0K1upbc5+Fj89mtahM9UQzsHhj4wxcaSbzQil+HE8TIbvyHLGPfs743&#10;nnLdvhsattf8GX00GvVFK2zL1hJON9S6LTUYfjCx0NxnHGWtUVQ9UCSqtPnzn/heH7WAlERHLJOC&#10;2C8HagSJ6juFac1TjA+2T7iAMC+5+5GrDs1KI21MIqIKpNd19UiWRjcP2HfX3htEVDH4LAhzZrys&#10;HO4QYWMycX0daGyalrqN2rXMGx/LfN89UNMOSHMo4Cc9Lhy6/AFwva5/qfT1welSBjT60vb1RPH9&#10;BVsqtGHYqH4NvrwHre97/+ovAAAA//8DAFBLAwQUAAYACAAAACEAvh8Kt9oAAAAFAQAADwAAAGRy&#10;cy9kb3ducmV2LnhtbEyPS0/DMBCE70j8B2uRuFGbFJUqxKl4CAlOqIFLb268eUC8jmK3Mf+eLRe4&#10;rDSa2dlvi01ygzjiFHpPGq4XCgRS7W1PrYaP9+erNYgQDVkzeEIN3xhgU56fFSa3fqYtHqvYCi6h&#10;kBsNXYxjLmWoO3QmLPyIxF7jJ2ciy6mVdjIzl7tBZkqtpDM98YXOjPjYYf1VHRxj+PE1+1zN6mmZ&#10;dtVLat4e+thofXmR7u9AREzxLwwnfN6Bkpn2/kA2iEEDPxJ/58nLshvWew23SwWyLOR/+vIHAAD/&#10;/wMAUEsBAi0AFAAGAAgAAAAhALaDOJL+AAAA4QEAABMAAAAAAAAAAAAAAAAAAAAAAFtDb250ZW50&#10;X1R5cGVzXS54bWxQSwECLQAUAAYACAAAACEAOP0h/9YAAACUAQAACwAAAAAAAAAAAAAAAAAvAQAA&#10;X3JlbHMvLnJlbHNQSwECLQAUAAYACAAAACEAoF+4nRcDAAA/BgAADgAAAAAAAAAAAAAAAAAuAgAA&#10;ZHJzL2Uyb0RvYy54bWxQSwECLQAUAAYACAAAACEAvh8Kt9oAAAAFAQAADwAAAAAAAAAAAAAAAABx&#10;BQAAZHJzL2Rvd25yZXYueG1sUEsFBgAAAAAEAAQA8wAAAHgGAAAAAA==&#10;" o:allowincell="f" filled="f" stroked="f" strokeweight=".5pt">
              <v:fill o:detectmouseclick="t"/>
              <v:textbox inset=",0,,0">
                <w:txbxContent>
                  <w:p w:rsidR="00FB007F" w:rsidRPr="00FB007F" w:rsidRDefault="00FB007F" w:rsidP="00FB007F">
                    <w:pPr>
                      <w:spacing w:after="0"/>
                      <w:jc w:val="center"/>
                      <w:rPr>
                        <w:rFonts w:ascii="Calibri" w:hAnsi="Calibri" w:cs="Calibri"/>
                        <w:color w:val="FF0000"/>
                        <w:sz w:val="28"/>
                      </w:rPr>
                    </w:pPr>
                    <w:r w:rsidRPr="00FB007F">
                      <w:rPr>
                        <w:rFonts w:ascii="Calibri" w:hAnsi="Calibri" w:cs="Calibri"/>
                        <w:color w:val="FF0000"/>
                        <w:sz w:val="28"/>
                      </w:rPr>
                      <w:t>OFFICIAL</w:t>
                    </w:r>
                  </w:p>
                </w:txbxContent>
              </v:textbox>
              <w10:wrap anchorx="page" anchory="page"/>
            </v:shape>
          </w:pict>
        </mc:Fallback>
      </mc:AlternateContent>
    </w:r>
    <w:r w:rsidR="00DF1238" w:rsidRPr="00971126">
      <w:rPr>
        <w:b/>
        <w:color w:val="2B579A"/>
        <w:shd w:val="clear" w:color="auto" w:fill="E6E6E6"/>
      </w:rPr>
      <w:fldChar w:fldCharType="begin"/>
    </w:r>
    <w:r w:rsidR="00DF1238" w:rsidRPr="00971126">
      <w:rPr>
        <w:b/>
      </w:rPr>
      <w:instrText xml:space="preserve"> STYLEREF  Title  \* MERGEFORMAT </w:instrText>
    </w:r>
    <w:r w:rsidR="00DF1238" w:rsidRPr="00971126">
      <w:rPr>
        <w:b/>
        <w:color w:val="2B579A"/>
        <w:shd w:val="clear" w:color="auto" w:fill="E6E6E6"/>
      </w:rPr>
      <w:fldChar w:fldCharType="separate"/>
    </w:r>
    <w:r>
      <w:rPr>
        <w:b/>
        <w:noProof/>
      </w:rPr>
      <w:t>Stormwater Targets</w:t>
    </w:r>
    <w:r w:rsidR="00DF1238" w:rsidRPr="00971126">
      <w:rPr>
        <w:b/>
        <w:color w:val="2B579A"/>
        <w:shd w:val="clear" w:color="auto" w:fill="E6E6E6"/>
      </w:rPr>
      <w:fldChar w:fldCharType="end"/>
    </w:r>
    <w:r w:rsidR="00DF1238">
      <w:t xml:space="preserve"> | </w:t>
    </w:r>
    <w:fldSimple w:instr="STYLEREF  Subtitle  \* MERGEFORMAT">
      <w:r>
        <w:rPr>
          <w:noProof/>
        </w:rPr>
        <w:t>Practitioners Note</w:t>
      </w:r>
    </w:fldSimple>
    <w:r w:rsidR="00DF1238">
      <w:rPr>
        <w:color w:val="2B579A"/>
        <w:shd w:val="clear" w:color="auto" w:fill="E6E6E6"/>
      </w:rPr>
      <w:fldChar w:fldCharType="begin"/>
    </w:r>
    <w:r w:rsidR="00DF1238">
      <w:instrText xml:space="preserve"> TITLE   \* MERGEFORMAT </w:instrText>
    </w:r>
    <w:r w:rsidR="00DF1238">
      <w:rPr>
        <w:color w:val="2B579A"/>
        <w:shd w:val="clear" w:color="auto" w:fill="E6E6E6"/>
      </w:rPr>
      <w:fldChar w:fldCharType="end"/>
    </w:r>
    <w:r w:rsidR="00DF1238">
      <w:rPr>
        <w:color w:val="2B579A"/>
        <w:shd w:val="clear" w:color="auto" w:fill="E6E6E6"/>
      </w:rPr>
      <w:fldChar w:fldCharType="begin"/>
    </w:r>
    <w:r w:rsidR="00DF1238">
      <w:instrText xml:space="preserve">  </w:instrText>
    </w:r>
    <w:r w:rsidR="00DF1238">
      <w:rPr>
        <w:color w:val="2B579A"/>
        <w:shd w:val="clear" w:color="auto" w:fill="E6E6E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238" w:rsidRDefault="00FB007F" w:rsidP="00AB6643">
    <w:r>
      <w:rPr>
        <w:noProof/>
        <w:lang w:eastAsia="en-AU"/>
      </w:rPr>
      <mc:AlternateContent>
        <mc:Choice Requires="wps">
          <w:drawing>
            <wp:anchor distT="0" distB="0" distL="114300" distR="114300" simplePos="0" relativeHeight="251661055" behindDoc="0" locked="0" layoutInCell="0" allowOverlap="1">
              <wp:simplePos x="0" y="0"/>
              <wp:positionH relativeFrom="page">
                <wp:align>center</wp:align>
              </wp:positionH>
              <wp:positionV relativeFrom="page">
                <wp:align>top</wp:align>
              </wp:positionV>
              <wp:extent cx="7772400" cy="463550"/>
              <wp:effectExtent l="0" t="0" r="0" b="12700"/>
              <wp:wrapNone/>
              <wp:docPr id="3" name="MSIPCM8f8744e694750047a5866b47" descr="{&quot;HashCode&quot;:431517927,&quot;Height&quot;:9999999.0,&quot;Width&quot;:9999999.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B007F" w:rsidRPr="00FB007F" w:rsidRDefault="00FB007F" w:rsidP="00FB007F">
                          <w:pPr>
                            <w:spacing w:after="0"/>
                            <w:jc w:val="center"/>
                            <w:rPr>
                              <w:rFonts w:ascii="Calibri" w:hAnsi="Calibri" w:cs="Calibri"/>
                              <w:color w:val="FF0000"/>
                              <w:sz w:val="28"/>
                            </w:rPr>
                          </w:pPr>
                          <w:r w:rsidRPr="00FB007F">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8f8744e694750047a5866b47" o:spid="_x0000_s1029" type="#_x0000_t202" alt="{&quot;HashCode&quot;:431517927,&quot;Height&quot;:9999999.0,&quot;Width&quot;:9999999.0,&quot;Placement&quot;:&quot;Header&quot;,&quot;Index&quot;:&quot;FirstPage&quot;,&quot;Section&quot;:1,&quot;Top&quot;:0.0,&quot;Left&quot;:0.0}" style="position:absolute;margin-left:0;margin-top:0;width:612pt;height:36.5pt;z-index:251661055;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aH5FwMAAEgGAAAOAAAAZHJzL2Uyb0RvYy54bWysVd1v2jAQf5+0/8Hyw54GSWggJGuoKBVb&#10;Jdoi0anPxnFItMTObFPSVf3fd3Yc+rFNmqbx4Jzvdz7fx8/H6VlbV+ieSVUKnuJg6GPEOBVZyXcp&#10;/nq7HEwxUprwjFSCsxQ/MIXPZu/fnR6ahI1EIaqMSQROuEoOTYoLrZvE8xQtWE3UUDSMA5gLWRMN&#10;W7nzMkkO4L2uvJHvT7yDkFkjBWVKgfaiA/HM+s9zRvVNniumUZViiE3bVdp1a1ZvdkqSnSRNUVIX&#10;BvmHKGpScrj06OqCaIL2svzFVV1SKZTI9ZCK2hN5XlJmc4BsAv9NNpuCNMzmAsVRzbFM6v+5pdf3&#10;a4nKLMUnGHFSQ4uuNpfrxdU0n0ZhyCZxGI19P4zIeDqZbMMIo4wpChV8/PB9L/SnL0QVC5GxbpeE&#10;J8E4iOJR9NHBrNwV2oFx9xv6DrwrM138AVtXhLKa8f5s744AXzrZObnkGWudk+6zLKXSa7JzMTm7&#10;DXABSOosA6e9FY3T+MewVizvbwXlk+HIoVEJlGrTQLF0ey5a4HqvV6A0rW9zWZsvNBUBDmx7ODKM&#10;tRpRUEZRNAp9gChg4eRkPLYU9J5PNxD7ZyZqZIQUS4jaEovcr5SGSMC0NzGXcbEsq8qyuOLokGLw&#10;6dsDRwROVNzYQhDgw0kdOx/jAOI5H8WD5WQaDcJlOB7EkT8d+EF8Hk/8MA4vlk/GXxAmRZlljK9K&#10;zvqXEoR/x0T3ZjuO27fyKlQlqjIzeZjYTHaLSqJ7Ak92Cyz4ZgoNSbyw8l6HY2HIrv/aLD3Ts643&#10;RtLttrU8P/ZtK7IHaKcUUGboiGqoJc6KGPJImAKghMmmb2DJKwG1FU7CqBDyx+/0xh5KAihGB5gq&#10;KVbf90QyjKpLDs82DsIQ3Gq7AUG+1G57Ld/XCwHZBzYqKxpbXfViLkV9B4Nvbm4DiHAKd6aYatlv&#10;Fhr2AMHopGw+tzKMnIboFd801Djvq33b3hHZOMJpqOO16CcPSd7wrrM1J7mY77XIS0tKU+GuntAD&#10;s4FxZbvhRquZhy/31ur5D2D2EwAA//8DAFBLAwQUAAYACAAAACEAvh8Kt9oAAAAFAQAADwAAAGRy&#10;cy9kb3ducmV2LnhtbEyPS0/DMBCE70j8B2uRuFGbFJUqxKl4CAlOqIFLb268eUC8jmK3Mf+eLRe4&#10;rDSa2dlvi01ygzjiFHpPGq4XCgRS7W1PrYaP9+erNYgQDVkzeEIN3xhgU56fFSa3fqYtHqvYCi6h&#10;kBsNXYxjLmWoO3QmLPyIxF7jJ2ciy6mVdjIzl7tBZkqtpDM98YXOjPjYYf1VHRxj+PE1+1zN6mmZ&#10;dtVLat4e+thofXmR7u9AREzxLwwnfN6Bkpn2/kA2iEEDPxJ/58nLshvWew23SwWyLOR/+vIHAAD/&#10;/wMAUEsBAi0AFAAGAAgAAAAhALaDOJL+AAAA4QEAABMAAAAAAAAAAAAAAAAAAAAAAFtDb250ZW50&#10;X1R5cGVzXS54bWxQSwECLQAUAAYACAAAACEAOP0h/9YAAACUAQAACwAAAAAAAAAAAAAAAAAvAQAA&#10;X3JlbHMvLnJlbHNQSwECLQAUAAYACAAAACEAZt2h+RcDAABIBgAADgAAAAAAAAAAAAAAAAAuAgAA&#10;ZHJzL2Uyb0RvYy54bWxQSwECLQAUAAYACAAAACEAvh8Kt9oAAAAFAQAADwAAAAAAAAAAAAAAAABx&#10;BQAAZHJzL2Rvd25yZXYueG1sUEsFBgAAAAAEAAQA8wAAAHgGAAAAAA==&#10;" o:allowincell="f" filled="f" stroked="f" strokeweight=".5pt">
              <v:fill o:detectmouseclick="t"/>
              <v:textbox inset=",0,,0">
                <w:txbxContent>
                  <w:p w:rsidR="00FB007F" w:rsidRPr="00FB007F" w:rsidRDefault="00FB007F" w:rsidP="00FB007F">
                    <w:pPr>
                      <w:spacing w:after="0"/>
                      <w:jc w:val="center"/>
                      <w:rPr>
                        <w:rFonts w:ascii="Calibri" w:hAnsi="Calibri" w:cs="Calibri"/>
                        <w:color w:val="FF0000"/>
                        <w:sz w:val="28"/>
                      </w:rPr>
                    </w:pPr>
                    <w:r w:rsidRPr="00FB007F">
                      <w:rPr>
                        <w:rFonts w:ascii="Calibri" w:hAnsi="Calibri" w:cs="Calibri"/>
                        <w:color w:val="FF0000"/>
                        <w:sz w:val="28"/>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238" w:rsidRPr="00971126" w:rsidRDefault="00FB007F" w:rsidP="00971126">
    <w:pPr>
      <w:pStyle w:val="Header"/>
    </w:pPr>
    <w:r>
      <w:rPr>
        <w:b/>
        <w:noProof/>
        <w:lang w:eastAsia="en-AU"/>
      </w:rPr>
      <mc:AlternateContent>
        <mc:Choice Requires="wps">
          <w:drawing>
            <wp:anchor distT="0" distB="0" distL="114300" distR="114300" simplePos="0" relativeHeight="251661312" behindDoc="0" locked="0" layoutInCell="0" allowOverlap="1">
              <wp:simplePos x="0" y="0"/>
              <wp:positionH relativeFrom="page">
                <wp:align>center</wp:align>
              </wp:positionH>
              <wp:positionV relativeFrom="page">
                <wp:align>top</wp:align>
              </wp:positionV>
              <wp:extent cx="7772400" cy="463550"/>
              <wp:effectExtent l="0" t="0" r="0" b="12700"/>
              <wp:wrapNone/>
              <wp:docPr id="5" name="MSIPCMf53147d3959d175367aa1336" descr="{&quot;HashCode&quot;:431517927,&quot;Height&quot;:9999999.0,&quot;Width&quot;:9999999.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B007F" w:rsidRPr="00FB007F" w:rsidRDefault="00FB007F" w:rsidP="00FB007F">
                          <w:pPr>
                            <w:spacing w:after="0"/>
                            <w:jc w:val="center"/>
                            <w:rPr>
                              <w:rFonts w:ascii="Calibri" w:hAnsi="Calibri" w:cs="Calibri"/>
                              <w:color w:val="FF0000"/>
                              <w:sz w:val="28"/>
                            </w:rPr>
                          </w:pPr>
                          <w:r w:rsidRPr="00FB007F">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f53147d3959d175367aa1336" o:spid="_x0000_s1030" type="#_x0000_t202" alt="{&quot;HashCode&quot;:431517927,&quot;Height&quot;:9999999.0,&quot;Width&quot;:9999999.0,&quot;Placement&quot;:&quot;Header&quot;,&quot;Index&quot;:&quot;Primary&quot;,&quot;Section&quot;:2,&quot;Top&quot;:0.0,&quot;Left&quot;:0.0}" style="position:absolute;margin-left:0;margin-top:0;width:612pt;height:36.5pt;z-index:251661312;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eMxGAMAAEYGAAAOAAAAZHJzL2Uyb0RvYy54bWysVN1v2jAQf5+0/8Hyw54GSSCQhjVUlIqt&#10;Em2R6NRn4zjEWmJntoGwqv/7zk5CP7ZJ07Q8OOe788/38fOdX9RlgfZMaS5FgoO+jxETVKZcbBP8&#10;9X7RO8NIGyJSUkjBEnxkGl9M3787P1QTNpC5LFKmEIAIPTlUCc6NqSaep2nOSqL7smICjJlUJTGw&#10;VVsvVeQA6GXhDXx/7B2kSislKdMatFeNEU8dfpYxau6yTDODigRDbMatyq0bu3rTczLZKlLlnLZh&#10;kH+IoiRcwKUnqCtiCNop/gtUyamSWmamT2XpySzjlLkcIJvAf5PNOicVc7lAcXR1KpP+f7D0dr9S&#10;iKcJHmEkSAktullfr+Y32WgYhFE6jEdxGkSj4TgiJBgOxxilTFOo4OOH7ztpPn0hOp/LlDW7STgM&#10;RkEUD6KPrZnxbW5aY9x8fb81PvDU5H+wrQpCWclEd7aDI8CXRm5BrkXK6hak+a0UL4k6vvJaAxOA&#10;oq3foD17L6tW45+CWrKsuxOUT5Yhh0pPoFDrCkpl6ktZA9M7vQalbXydqdL+oaUI7MC144lfrDaI&#10;gjKKokHog4mCLRwPRyNHQO/5dKW0+cxkiayQYAVRO1qR/VIbiARcOxd7mZALXhSOw4VAhwQDpu8O&#10;nCxwohDWF4IAjFZquPkYBxDP5SDuLcZnUS9chKNeHPlnPT+IL+OxH8bh1eLJ4gXhJOdpysSSC9a9&#10;kyD8Ox62L7ZhuHspr0LVsuCpzcPGZrObFwrtCTzYDXDgmy00JPHCy3sdjjNDdt3fZenZnjW9sZKp&#10;N7Vj+aDr20amR2inklBm6Iiu6ILD3UuizYoomAGghLlm7mDJCgm1la2EUS7Vj9/prT+UBKwYHWCm&#10;JFh/3xHFMCquBTzaOAhDgDVuA4J6qd10WrEr5xKyD1xUTrS+pujETMnyAcbezN4GJiIo3JlgalS3&#10;mRvYgwkGJ2WzmZNh4FTELMW6oha8q/Z9/UBU1RLOQB1vZTd3yOQN7xpfe1LI2c7IjDtS2go39YQe&#10;2A0MK9eNdrDaafhy77yex//0JwAAAP//AwBQSwMEFAAGAAgAAAAhAL4fCrfaAAAABQEAAA8AAABk&#10;cnMvZG93bnJldi54bWxMj0tPwzAQhO9I/AdrkbhRmxSVKsSpeAgJTqiBS29uvHlAvI5itzH/ni0X&#10;uKw0mtnZb4tNcoM44hR6TxquFwoEUu1tT62Gj/fnqzWIEA1ZM3hCDd8YYFOenxUmt36mLR6r2Aou&#10;oZAbDV2MYy5lqDt0Jiz8iMRe4ydnIsuplXYyM5e7QWZKraQzPfGFzoz42GH9VR0cY/jxNftczepp&#10;mXbVS2reHvrYaH15ke7vQERM8S8MJ3zegZKZ9v5ANohBAz8Sf+fJy7Ib1nsNt0sFsizkf/ryBwAA&#10;//8DAFBLAQItABQABgAIAAAAIQC2gziS/gAAAOEBAAATAAAAAAAAAAAAAAAAAAAAAABbQ29udGVu&#10;dF9UeXBlc10ueG1sUEsBAi0AFAAGAAgAAAAhADj9If/WAAAAlAEAAAsAAAAAAAAAAAAAAAAALwEA&#10;AF9yZWxzLy5yZWxzUEsBAi0AFAAGAAgAAAAhAFAV4zEYAwAARgYAAA4AAAAAAAAAAAAAAAAALgIA&#10;AGRycy9lMm9Eb2MueG1sUEsBAi0AFAAGAAgAAAAhAL4fCrfaAAAABQEAAA8AAAAAAAAAAAAAAAAA&#10;cgUAAGRycy9kb3ducmV2LnhtbFBLBQYAAAAABAAEAPMAAAB5BgAAAAA=&#10;" o:allowincell="f" filled="f" stroked="f" strokeweight=".5pt">
              <v:fill o:detectmouseclick="t"/>
              <v:textbox inset=",0,,0">
                <w:txbxContent>
                  <w:p w:rsidR="00FB007F" w:rsidRPr="00FB007F" w:rsidRDefault="00FB007F" w:rsidP="00FB007F">
                    <w:pPr>
                      <w:spacing w:after="0"/>
                      <w:jc w:val="center"/>
                      <w:rPr>
                        <w:rFonts w:ascii="Calibri" w:hAnsi="Calibri" w:cs="Calibri"/>
                        <w:color w:val="FF0000"/>
                        <w:sz w:val="28"/>
                      </w:rPr>
                    </w:pPr>
                    <w:r w:rsidRPr="00FB007F">
                      <w:rPr>
                        <w:rFonts w:ascii="Calibri" w:hAnsi="Calibri" w:cs="Calibri"/>
                        <w:color w:val="FF0000"/>
                        <w:sz w:val="28"/>
                      </w:rPr>
                      <w:t>OFFICIAL</w:t>
                    </w:r>
                  </w:p>
                </w:txbxContent>
              </v:textbox>
              <w10:wrap anchorx="page" anchory="page"/>
            </v:shape>
          </w:pict>
        </mc:Fallback>
      </mc:AlternateContent>
    </w:r>
    <w:r w:rsidR="00DF1238">
      <w:rPr>
        <w:b/>
      </w:rPr>
      <w:t>Healthy Waterways Strategy targets</w:t>
    </w:r>
    <w:r w:rsidR="00DF1238">
      <w:t>| Practitioners note</w:t>
    </w:r>
    <w:r w:rsidR="00DF1238">
      <w:rPr>
        <w:color w:val="2B579A"/>
        <w:shd w:val="clear" w:color="auto" w:fill="E6E6E6"/>
      </w:rPr>
      <w:fldChar w:fldCharType="begin"/>
    </w:r>
    <w:r w:rsidR="00DF1238">
      <w:instrText xml:space="preserve"> TITLE   \* MERGEFORMAT </w:instrText>
    </w:r>
    <w:r w:rsidR="00DF1238">
      <w:rPr>
        <w:color w:val="2B579A"/>
        <w:shd w:val="clear" w:color="auto" w:fill="E6E6E6"/>
      </w:rPr>
      <w:fldChar w:fldCharType="end"/>
    </w:r>
    <w:r w:rsidR="00DF1238">
      <w:rPr>
        <w:color w:val="2B579A"/>
        <w:shd w:val="clear" w:color="auto" w:fill="E6E6E6"/>
      </w:rPr>
      <w:fldChar w:fldCharType="begin"/>
    </w:r>
    <w:r w:rsidR="00DF1238">
      <w:instrText xml:space="preserve">  </w:instrText>
    </w:r>
    <w:r w:rsidR="00DF1238">
      <w:rPr>
        <w:color w:val="2B579A"/>
        <w:shd w:val="clear" w:color="auto" w:fill="E6E6E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33EB6"/>
    <w:multiLevelType w:val="hybridMultilevel"/>
    <w:tmpl w:val="725254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5DF4D74"/>
    <w:multiLevelType w:val="hybridMultilevel"/>
    <w:tmpl w:val="5914CA7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1A4051A0"/>
    <w:multiLevelType w:val="hybridMultilevel"/>
    <w:tmpl w:val="58DEC82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CC73A99"/>
    <w:multiLevelType w:val="multilevel"/>
    <w:tmpl w:val="91DE7E8E"/>
    <w:lvl w:ilvl="0">
      <w:start w:val="1"/>
      <w:numFmt w:val="decimal"/>
      <w:lvlText w:val="%1."/>
      <w:lvlJc w:val="left"/>
      <w:pPr>
        <w:ind w:left="567" w:hanging="567"/>
      </w:pPr>
      <w:rPr>
        <w:rFonts w:hint="default"/>
      </w:rPr>
    </w:lvl>
    <w:lvl w:ilvl="1">
      <w:start w:val="1"/>
      <w:numFmt w:val="bullet"/>
      <w:lvlText w:val="–"/>
      <w:lvlJc w:val="left"/>
      <w:pPr>
        <w:ind w:left="1134" w:hanging="567"/>
      </w:pPr>
      <w:rPr>
        <w:rFonts w:ascii="Verdana" w:hAnsi="Verdana" w:hint="default"/>
      </w:rPr>
    </w:lvl>
    <w:lvl w:ilvl="2">
      <w:start w:val="1"/>
      <w:numFmt w:val="bullet"/>
      <w:lvlText w:val="&gt;"/>
      <w:lvlJc w:val="left"/>
      <w:pPr>
        <w:ind w:left="1701" w:hanging="567"/>
      </w:pPr>
      <w:rPr>
        <w:rFonts w:ascii="Verdana" w:hAnsi="Verdana"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cs="Courier New" w:hint="default"/>
      </w:rPr>
    </w:lvl>
    <w:lvl w:ilvl="8">
      <w:start w:val="1"/>
      <w:numFmt w:val="bullet"/>
      <w:lvlText w:val=""/>
      <w:lvlJc w:val="left"/>
      <w:pPr>
        <w:ind w:left="5103" w:hanging="567"/>
      </w:pPr>
      <w:rPr>
        <w:rFonts w:ascii="Wingdings" w:hAnsi="Wingdings" w:hint="default"/>
      </w:rPr>
    </w:lvl>
  </w:abstractNum>
  <w:abstractNum w:abstractNumId="4" w15:restartNumberingAfterBreak="0">
    <w:nsid w:val="22BC38AD"/>
    <w:multiLevelType w:val="hybridMultilevel"/>
    <w:tmpl w:val="01BCEE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A3A3E61"/>
    <w:multiLevelType w:val="hybridMultilevel"/>
    <w:tmpl w:val="A2B8FBD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38C523B0"/>
    <w:multiLevelType w:val="hybridMultilevel"/>
    <w:tmpl w:val="7A58EA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2A44E46"/>
    <w:multiLevelType w:val="hybridMultilevel"/>
    <w:tmpl w:val="512C7A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46B97BE2"/>
    <w:multiLevelType w:val="hybridMultilevel"/>
    <w:tmpl w:val="9BE425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A7E4FAE"/>
    <w:multiLevelType w:val="hybridMultilevel"/>
    <w:tmpl w:val="1DFEDF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653F7E37"/>
    <w:multiLevelType w:val="hybridMultilevel"/>
    <w:tmpl w:val="7EBA19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EF44616"/>
    <w:multiLevelType w:val="multilevel"/>
    <w:tmpl w:val="F1A6F9A8"/>
    <w:name w:val="Bullets"/>
    <w:lvl w:ilvl="0">
      <w:start w:val="1"/>
      <w:numFmt w:val="bullet"/>
      <w:pStyle w:val="ListBullet"/>
      <w:lvlText w:val=""/>
      <w:lvlJc w:val="left"/>
      <w:pPr>
        <w:ind w:left="567" w:hanging="567"/>
      </w:pPr>
      <w:rPr>
        <w:rFonts w:ascii="Symbol" w:hAnsi="Symbol" w:hint="default"/>
      </w:rPr>
    </w:lvl>
    <w:lvl w:ilvl="1">
      <w:start w:val="1"/>
      <w:numFmt w:val="bullet"/>
      <w:pStyle w:val="ListBullet2"/>
      <w:lvlText w:val="–"/>
      <w:lvlJc w:val="left"/>
      <w:pPr>
        <w:ind w:left="1134" w:hanging="567"/>
      </w:pPr>
      <w:rPr>
        <w:rFonts w:ascii="Verdana" w:hAnsi="Verdana" w:hint="default"/>
      </w:rPr>
    </w:lvl>
    <w:lvl w:ilvl="2">
      <w:start w:val="1"/>
      <w:numFmt w:val="bullet"/>
      <w:pStyle w:val="ListBullet3"/>
      <w:lvlText w:val="&gt;"/>
      <w:lvlJc w:val="left"/>
      <w:pPr>
        <w:ind w:left="1701" w:hanging="567"/>
      </w:pPr>
      <w:rPr>
        <w:rFonts w:ascii="Verdana" w:hAnsi="Verdana"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cs="Courier New" w:hint="default"/>
      </w:rPr>
    </w:lvl>
    <w:lvl w:ilvl="8">
      <w:start w:val="1"/>
      <w:numFmt w:val="bullet"/>
      <w:lvlText w:val=""/>
      <w:lvlJc w:val="left"/>
      <w:pPr>
        <w:ind w:left="5103" w:hanging="567"/>
      </w:pPr>
      <w:rPr>
        <w:rFonts w:ascii="Wingdings" w:hAnsi="Wingdings" w:hint="default"/>
      </w:rPr>
    </w:lvl>
  </w:abstractNum>
  <w:num w:numId="1">
    <w:abstractNumId w:val="11"/>
  </w:num>
  <w:num w:numId="2">
    <w:abstractNumId w:val="0"/>
  </w:num>
  <w:num w:numId="3">
    <w:abstractNumId w:val="3"/>
  </w:num>
  <w:num w:numId="4">
    <w:abstractNumId w:val="9"/>
  </w:num>
  <w:num w:numId="5">
    <w:abstractNumId w:val="6"/>
  </w:num>
  <w:num w:numId="6">
    <w:abstractNumId w:val="4"/>
  </w:num>
  <w:num w:numId="7">
    <w:abstractNumId w:val="5"/>
  </w:num>
  <w:num w:numId="8">
    <w:abstractNumId w:val="7"/>
  </w:num>
  <w:num w:numId="9">
    <w:abstractNumId w:val="2"/>
  </w:num>
  <w:num w:numId="10">
    <w:abstractNumId w:val="10"/>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238"/>
    <w:rsid w:val="001468A0"/>
    <w:rsid w:val="004C2EA6"/>
    <w:rsid w:val="007758C9"/>
    <w:rsid w:val="00A442AC"/>
    <w:rsid w:val="00DE5F3F"/>
    <w:rsid w:val="00DF1238"/>
    <w:rsid w:val="00E66852"/>
    <w:rsid w:val="00FB00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358FD62D-3523-41F9-86E5-F58A6CB41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BodyText"/>
    <w:link w:val="Heading1Char"/>
    <w:qFormat/>
    <w:rsid w:val="00DF1238"/>
    <w:pPr>
      <w:keepNext/>
      <w:keepLines/>
      <w:spacing w:before="360" w:after="120" w:line="240" w:lineRule="auto"/>
      <w:outlineLvl w:val="0"/>
    </w:pPr>
    <w:rPr>
      <w:rFonts w:asciiTheme="majorHAnsi" w:eastAsiaTheme="minorEastAsia" w:hAnsiTheme="majorHAnsi" w:cstheme="majorBidi"/>
      <w:b/>
      <w:bCs/>
      <w:color w:val="00428B"/>
      <w:sz w:val="36"/>
      <w:szCs w:val="36"/>
      <w:lang w:eastAsia="en-AU"/>
    </w:rPr>
  </w:style>
  <w:style w:type="paragraph" w:styleId="Heading2">
    <w:name w:val="heading 2"/>
    <w:basedOn w:val="Normal"/>
    <w:next w:val="BodyText"/>
    <w:link w:val="Heading2Char"/>
    <w:qFormat/>
    <w:rsid w:val="00DF1238"/>
    <w:pPr>
      <w:keepNext/>
      <w:keepLines/>
      <w:spacing w:before="240" w:after="120" w:line="240" w:lineRule="auto"/>
      <w:outlineLvl w:val="1"/>
    </w:pPr>
    <w:rPr>
      <w:rFonts w:asciiTheme="majorHAnsi" w:eastAsiaTheme="majorEastAsia" w:hAnsiTheme="majorHAnsi" w:cstheme="majorBidi"/>
      <w:b/>
      <w:bCs/>
      <w:color w:val="000000" w:themeColor="text1"/>
      <w:sz w:val="28"/>
      <w:szCs w:val="28"/>
      <w:lang w:eastAsia="en-AU"/>
    </w:rPr>
  </w:style>
  <w:style w:type="paragraph" w:styleId="Heading3">
    <w:name w:val="heading 3"/>
    <w:basedOn w:val="Normal"/>
    <w:next w:val="BodyText"/>
    <w:link w:val="Heading3Char"/>
    <w:qFormat/>
    <w:rsid w:val="00DF1238"/>
    <w:pPr>
      <w:keepNext/>
      <w:keepLines/>
      <w:spacing w:before="240" w:after="180" w:line="240" w:lineRule="auto"/>
      <w:outlineLvl w:val="2"/>
    </w:pPr>
    <w:rPr>
      <w:rFonts w:asciiTheme="majorHAnsi" w:eastAsiaTheme="majorEastAsia" w:hAnsiTheme="majorHAnsi" w:cstheme="majorBidi"/>
      <w:b/>
      <w:bCs/>
      <w:color w:val="000000" w:themeColor="text1"/>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BodyText"/>
    <w:link w:val="TitleChar"/>
    <w:uiPriority w:val="1"/>
    <w:rsid w:val="00DF1238"/>
    <w:pPr>
      <w:spacing w:before="480" w:after="360" w:line="320" w:lineRule="atLeast"/>
      <w:contextualSpacing/>
    </w:pPr>
    <w:rPr>
      <w:rFonts w:asciiTheme="majorHAnsi" w:eastAsiaTheme="minorEastAsia" w:hAnsiTheme="majorHAnsi" w:cs="Times New Roman"/>
      <w:b/>
      <w:color w:val="FFFFFF"/>
      <w:sz w:val="64"/>
      <w:szCs w:val="48"/>
      <w:lang w:eastAsia="en-AU"/>
    </w:rPr>
  </w:style>
  <w:style w:type="character" w:customStyle="1" w:styleId="TitleChar">
    <w:name w:val="Title Char"/>
    <w:basedOn w:val="DefaultParagraphFont"/>
    <w:link w:val="Title"/>
    <w:uiPriority w:val="1"/>
    <w:rsid w:val="00DF1238"/>
    <w:rPr>
      <w:rFonts w:asciiTheme="majorHAnsi" w:eastAsiaTheme="minorEastAsia" w:hAnsiTheme="majorHAnsi" w:cs="Times New Roman"/>
      <w:b/>
      <w:color w:val="FFFFFF"/>
      <w:sz w:val="64"/>
      <w:szCs w:val="48"/>
      <w:lang w:eastAsia="en-AU"/>
    </w:rPr>
  </w:style>
  <w:style w:type="paragraph" w:styleId="Subtitle">
    <w:name w:val="Subtitle"/>
    <w:basedOn w:val="Normal"/>
    <w:next w:val="BodyText"/>
    <w:link w:val="SubtitleChar"/>
    <w:uiPriority w:val="1"/>
    <w:rsid w:val="00DF1238"/>
    <w:pPr>
      <w:spacing w:after="0" w:line="320" w:lineRule="atLeast"/>
    </w:pPr>
    <w:rPr>
      <w:rFonts w:eastAsia="Times New Roman" w:cs="Times New Roman"/>
      <w:b/>
      <w:color w:val="FFFFFF"/>
      <w:sz w:val="24"/>
      <w:szCs w:val="24"/>
      <w:lang w:eastAsia="en-AU"/>
    </w:rPr>
  </w:style>
  <w:style w:type="character" w:customStyle="1" w:styleId="SubtitleChar">
    <w:name w:val="Subtitle Char"/>
    <w:basedOn w:val="DefaultParagraphFont"/>
    <w:link w:val="Subtitle"/>
    <w:uiPriority w:val="1"/>
    <w:rsid w:val="00DF1238"/>
    <w:rPr>
      <w:rFonts w:eastAsia="Times New Roman" w:cs="Times New Roman"/>
      <w:b/>
      <w:color w:val="FFFFFF"/>
      <w:sz w:val="24"/>
      <w:szCs w:val="24"/>
      <w:lang w:eastAsia="en-AU"/>
    </w:rPr>
  </w:style>
  <w:style w:type="paragraph" w:styleId="Date">
    <w:name w:val="Date"/>
    <w:basedOn w:val="Normal"/>
    <w:next w:val="Normal"/>
    <w:link w:val="DateChar"/>
    <w:rsid w:val="00DF1238"/>
    <w:pPr>
      <w:spacing w:before="480" w:after="480" w:line="320" w:lineRule="atLeast"/>
    </w:pPr>
    <w:rPr>
      <w:rFonts w:eastAsia="Times New Roman" w:cs="Times New Roman"/>
      <w:noProof/>
      <w:color w:val="FFFFFF"/>
      <w:sz w:val="24"/>
      <w:szCs w:val="24"/>
      <w:lang w:eastAsia="en-AU"/>
    </w:rPr>
  </w:style>
  <w:style w:type="character" w:customStyle="1" w:styleId="DateChar">
    <w:name w:val="Date Char"/>
    <w:basedOn w:val="DefaultParagraphFont"/>
    <w:link w:val="Date"/>
    <w:rsid w:val="00DF1238"/>
    <w:rPr>
      <w:rFonts w:eastAsia="Times New Roman" w:cs="Times New Roman"/>
      <w:noProof/>
      <w:color w:val="FFFFFF"/>
      <w:sz w:val="24"/>
      <w:szCs w:val="24"/>
      <w:lang w:eastAsia="en-AU"/>
    </w:rPr>
  </w:style>
  <w:style w:type="paragraph" w:styleId="BodyText">
    <w:name w:val="Body Text"/>
    <w:basedOn w:val="Normal"/>
    <w:link w:val="BodyTextChar"/>
    <w:uiPriority w:val="99"/>
    <w:semiHidden/>
    <w:unhideWhenUsed/>
    <w:rsid w:val="00DF1238"/>
    <w:pPr>
      <w:spacing w:after="120"/>
    </w:pPr>
  </w:style>
  <w:style w:type="character" w:customStyle="1" w:styleId="BodyTextChar">
    <w:name w:val="Body Text Char"/>
    <w:basedOn w:val="DefaultParagraphFont"/>
    <w:link w:val="BodyText"/>
    <w:rsid w:val="00DF1238"/>
  </w:style>
  <w:style w:type="character" w:customStyle="1" w:styleId="Heading1Char">
    <w:name w:val="Heading 1 Char"/>
    <w:basedOn w:val="DefaultParagraphFont"/>
    <w:link w:val="Heading1"/>
    <w:rsid w:val="00DF1238"/>
    <w:rPr>
      <w:rFonts w:asciiTheme="majorHAnsi" w:eastAsiaTheme="minorEastAsia" w:hAnsiTheme="majorHAnsi" w:cstheme="majorBidi"/>
      <w:b/>
      <w:bCs/>
      <w:color w:val="00428B"/>
      <w:sz w:val="36"/>
      <w:szCs w:val="36"/>
      <w:lang w:eastAsia="en-AU"/>
    </w:rPr>
  </w:style>
  <w:style w:type="character" w:customStyle="1" w:styleId="Heading2Char">
    <w:name w:val="Heading 2 Char"/>
    <w:basedOn w:val="DefaultParagraphFont"/>
    <w:link w:val="Heading2"/>
    <w:rsid w:val="00DF1238"/>
    <w:rPr>
      <w:rFonts w:asciiTheme="majorHAnsi" w:eastAsiaTheme="majorEastAsia" w:hAnsiTheme="majorHAnsi" w:cstheme="majorBidi"/>
      <w:b/>
      <w:bCs/>
      <w:color w:val="000000" w:themeColor="text1"/>
      <w:sz w:val="28"/>
      <w:szCs w:val="28"/>
      <w:lang w:eastAsia="en-AU"/>
    </w:rPr>
  </w:style>
  <w:style w:type="character" w:customStyle="1" w:styleId="Heading3Char">
    <w:name w:val="Heading 3 Char"/>
    <w:basedOn w:val="DefaultParagraphFont"/>
    <w:link w:val="Heading3"/>
    <w:rsid w:val="00DF1238"/>
    <w:rPr>
      <w:rFonts w:asciiTheme="majorHAnsi" w:eastAsiaTheme="majorEastAsia" w:hAnsiTheme="majorHAnsi" w:cstheme="majorBidi"/>
      <w:b/>
      <w:bCs/>
      <w:color w:val="000000" w:themeColor="text1"/>
      <w:sz w:val="24"/>
      <w:szCs w:val="24"/>
      <w:lang w:eastAsia="en-AU"/>
    </w:rPr>
  </w:style>
  <w:style w:type="paragraph" w:styleId="Caption">
    <w:name w:val="caption"/>
    <w:aliases w:val="Table Name,CDM B/Caption,Table Caption,TABLE,Char,Item,Figure,Caption table,Figure text or caption"/>
    <w:basedOn w:val="Normal"/>
    <w:next w:val="BodyText"/>
    <w:link w:val="CaptionChar"/>
    <w:unhideWhenUsed/>
    <w:qFormat/>
    <w:rsid w:val="00DF1238"/>
    <w:pPr>
      <w:keepNext/>
      <w:keepLines/>
      <w:tabs>
        <w:tab w:val="left" w:pos="1134"/>
      </w:tabs>
      <w:spacing w:before="60" w:after="120" w:line="240" w:lineRule="auto"/>
    </w:pPr>
    <w:rPr>
      <w:bCs/>
      <w:color w:val="44546A" w:themeColor="text2"/>
      <w:szCs w:val="24"/>
      <w:lang w:eastAsia="fr-CA"/>
    </w:rPr>
  </w:style>
  <w:style w:type="paragraph" w:styleId="Footer">
    <w:name w:val="footer"/>
    <w:basedOn w:val="Normal"/>
    <w:link w:val="FooterChar"/>
    <w:uiPriority w:val="99"/>
    <w:rsid w:val="00DF1238"/>
    <w:pPr>
      <w:tabs>
        <w:tab w:val="center" w:pos="4320"/>
        <w:tab w:val="right" w:pos="8640"/>
      </w:tabs>
      <w:spacing w:before="120" w:after="0" w:line="240" w:lineRule="auto"/>
      <w:jc w:val="right"/>
    </w:pPr>
    <w:rPr>
      <w:rFonts w:eastAsia="Cambria"/>
      <w:noProof/>
      <w:color w:val="000000" w:themeColor="text1"/>
      <w:sz w:val="20"/>
      <w:szCs w:val="24"/>
    </w:rPr>
  </w:style>
  <w:style w:type="character" w:customStyle="1" w:styleId="FooterChar">
    <w:name w:val="Footer Char"/>
    <w:basedOn w:val="DefaultParagraphFont"/>
    <w:link w:val="Footer"/>
    <w:uiPriority w:val="99"/>
    <w:rsid w:val="00DF1238"/>
    <w:rPr>
      <w:rFonts w:eastAsia="Cambria"/>
      <w:noProof/>
      <w:color w:val="000000" w:themeColor="text1"/>
      <w:sz w:val="20"/>
      <w:szCs w:val="24"/>
    </w:rPr>
  </w:style>
  <w:style w:type="paragraph" w:styleId="Header">
    <w:name w:val="header"/>
    <w:basedOn w:val="Normal"/>
    <w:link w:val="HeaderChar"/>
    <w:uiPriority w:val="99"/>
    <w:rsid w:val="00DF1238"/>
    <w:pPr>
      <w:pBdr>
        <w:bottom w:val="single" w:sz="8" w:space="5" w:color="44546A" w:themeColor="text2"/>
      </w:pBdr>
      <w:tabs>
        <w:tab w:val="right" w:pos="9639"/>
      </w:tabs>
      <w:spacing w:after="480" w:line="320" w:lineRule="atLeast"/>
    </w:pPr>
    <w:rPr>
      <w:color w:val="4D4F53"/>
      <w:sz w:val="20"/>
      <w:szCs w:val="24"/>
      <w:lang w:eastAsia="fr-CA"/>
    </w:rPr>
  </w:style>
  <w:style w:type="character" w:customStyle="1" w:styleId="HeaderChar">
    <w:name w:val="Header Char"/>
    <w:basedOn w:val="DefaultParagraphFont"/>
    <w:link w:val="Header"/>
    <w:uiPriority w:val="99"/>
    <w:rsid w:val="00DF1238"/>
    <w:rPr>
      <w:color w:val="4D4F53"/>
      <w:sz w:val="20"/>
      <w:szCs w:val="24"/>
      <w:lang w:eastAsia="fr-CA"/>
    </w:rPr>
  </w:style>
  <w:style w:type="character" w:styleId="Hyperlink">
    <w:name w:val="Hyperlink"/>
    <w:basedOn w:val="DefaultParagraphFont"/>
    <w:uiPriority w:val="99"/>
    <w:unhideWhenUsed/>
    <w:rsid w:val="00DF1238"/>
    <w:rPr>
      <w:color w:val="0563C1" w:themeColor="hyperlink"/>
      <w:u w:val="single"/>
    </w:rPr>
  </w:style>
  <w:style w:type="paragraph" w:styleId="ListBullet">
    <w:name w:val="List Bullet"/>
    <w:basedOn w:val="BodyText"/>
    <w:qFormat/>
    <w:rsid w:val="00DF1238"/>
    <w:pPr>
      <w:numPr>
        <w:numId w:val="1"/>
      </w:numPr>
      <w:spacing w:before="120" w:after="100" w:afterAutospacing="1" w:line="320" w:lineRule="atLeast"/>
      <w:contextualSpacing/>
    </w:pPr>
    <w:rPr>
      <w:rFonts w:eastAsia="Times New Roman" w:cs="Times New Roman"/>
      <w:color w:val="000000" w:themeColor="text1"/>
      <w:sz w:val="24"/>
      <w:szCs w:val="24"/>
      <w:lang w:eastAsia="en-AU"/>
    </w:rPr>
  </w:style>
  <w:style w:type="paragraph" w:styleId="ListBullet2">
    <w:name w:val="List Bullet 2"/>
    <w:basedOn w:val="ListBullet"/>
    <w:qFormat/>
    <w:rsid w:val="00DF1238"/>
    <w:pPr>
      <w:numPr>
        <w:ilvl w:val="1"/>
      </w:numPr>
      <w:spacing w:before="100" w:beforeAutospacing="1"/>
    </w:pPr>
  </w:style>
  <w:style w:type="paragraph" w:styleId="ListBullet3">
    <w:name w:val="List Bullet 3"/>
    <w:basedOn w:val="ListBullet2"/>
    <w:qFormat/>
    <w:rsid w:val="00DF1238"/>
    <w:pPr>
      <w:numPr>
        <w:ilvl w:val="2"/>
      </w:numPr>
    </w:pPr>
  </w:style>
  <w:style w:type="paragraph" w:styleId="TOC1">
    <w:name w:val="toc 1"/>
    <w:basedOn w:val="Normal"/>
    <w:next w:val="Normal"/>
    <w:autoRedefine/>
    <w:uiPriority w:val="39"/>
    <w:rsid w:val="00DF1238"/>
    <w:pPr>
      <w:tabs>
        <w:tab w:val="left" w:pos="851"/>
        <w:tab w:val="right" w:leader="dot" w:pos="9639"/>
      </w:tabs>
      <w:spacing w:before="240" w:after="120" w:line="320" w:lineRule="atLeast"/>
    </w:pPr>
    <w:rPr>
      <w:rFonts w:asciiTheme="majorHAnsi" w:hAnsiTheme="majorHAnsi"/>
      <w:b/>
      <w:noProof/>
      <w:color w:val="44546A" w:themeColor="text2"/>
      <w:sz w:val="24"/>
      <w:szCs w:val="24"/>
    </w:rPr>
  </w:style>
  <w:style w:type="paragraph" w:styleId="TOC2">
    <w:name w:val="toc 2"/>
    <w:basedOn w:val="Normal"/>
    <w:next w:val="Normal"/>
    <w:autoRedefine/>
    <w:uiPriority w:val="39"/>
    <w:rsid w:val="00DF1238"/>
    <w:pPr>
      <w:tabs>
        <w:tab w:val="right" w:leader="dot" w:pos="9639"/>
      </w:tabs>
      <w:spacing w:before="120" w:after="120" w:line="320" w:lineRule="atLeast"/>
    </w:pPr>
    <w:rPr>
      <w:noProof/>
      <w:color w:val="000000" w:themeColor="text1"/>
      <w:sz w:val="24"/>
      <w:szCs w:val="24"/>
      <w:lang w:eastAsia="fr-CA"/>
    </w:rPr>
  </w:style>
  <w:style w:type="paragraph" w:styleId="TOC3">
    <w:name w:val="toc 3"/>
    <w:basedOn w:val="Normal"/>
    <w:next w:val="Normal"/>
    <w:autoRedefine/>
    <w:uiPriority w:val="39"/>
    <w:rsid w:val="00DF1238"/>
    <w:pPr>
      <w:tabs>
        <w:tab w:val="right" w:leader="dot" w:pos="9639"/>
      </w:tabs>
      <w:spacing w:before="120" w:after="120" w:line="300" w:lineRule="atLeast"/>
      <w:ind w:left="425"/>
    </w:pPr>
    <w:rPr>
      <w:noProof/>
      <w:color w:val="002060"/>
      <w:szCs w:val="18"/>
      <w:lang w:eastAsia="fr-CA"/>
    </w:rPr>
  </w:style>
  <w:style w:type="paragraph" w:styleId="TOCHeading">
    <w:name w:val="TOC Heading"/>
    <w:next w:val="Normal"/>
    <w:uiPriority w:val="39"/>
    <w:rsid w:val="00DF1238"/>
    <w:pPr>
      <w:pageBreakBefore/>
      <w:spacing w:before="1560" w:after="840" w:line="320" w:lineRule="atLeast"/>
    </w:pPr>
    <w:rPr>
      <w:rFonts w:asciiTheme="majorHAnsi" w:eastAsiaTheme="majorEastAsia" w:hAnsiTheme="majorHAnsi" w:cstheme="majorBidi"/>
      <w:b/>
      <w:bCs/>
      <w:color w:val="44546A" w:themeColor="text2"/>
      <w:sz w:val="36"/>
      <w:szCs w:val="28"/>
      <w:lang w:eastAsia="en-AU"/>
    </w:rPr>
  </w:style>
  <w:style w:type="paragraph" w:customStyle="1" w:styleId="FooterLine">
    <w:name w:val="Footer Line"/>
    <w:basedOn w:val="Footer"/>
    <w:uiPriority w:val="99"/>
    <w:rsid w:val="00DF1238"/>
    <w:pPr>
      <w:pBdr>
        <w:bottom w:val="single" w:sz="8" w:space="2" w:color="44546A" w:themeColor="text2"/>
      </w:pBdr>
      <w:spacing w:line="320" w:lineRule="exact"/>
      <w:jc w:val="left"/>
    </w:pPr>
    <w:rPr>
      <w:color w:val="44546A" w:themeColor="text2"/>
    </w:rPr>
  </w:style>
  <w:style w:type="paragraph" w:customStyle="1" w:styleId="IntroParagraph">
    <w:name w:val="Intro Paragraph"/>
    <w:basedOn w:val="Normal"/>
    <w:qFormat/>
    <w:rsid w:val="00DF1238"/>
    <w:pPr>
      <w:spacing w:before="240" w:after="240" w:line="360" w:lineRule="atLeast"/>
    </w:pPr>
    <w:rPr>
      <w:rFonts w:eastAsia="Times New Roman" w:cs="Times New Roman"/>
      <w:color w:val="44546A" w:themeColor="text2"/>
      <w:spacing w:val="1"/>
      <w:sz w:val="26"/>
      <w:szCs w:val="26"/>
    </w:rPr>
  </w:style>
  <w:style w:type="paragraph" w:customStyle="1" w:styleId="SectionHeading">
    <w:name w:val="Section Heading"/>
    <w:basedOn w:val="Normal"/>
    <w:next w:val="Heading1"/>
    <w:qFormat/>
    <w:rsid w:val="00DF1238"/>
    <w:pPr>
      <w:pageBreakBefore/>
      <w:spacing w:after="360" w:line="240" w:lineRule="auto"/>
      <w:outlineLvl w:val="0"/>
    </w:pPr>
    <w:rPr>
      <w:rFonts w:eastAsia="Times New Roman" w:cs="Times New Roman"/>
      <w:b/>
      <w:color w:val="44546A" w:themeColor="text2"/>
      <w:sz w:val="48"/>
      <w:szCs w:val="48"/>
      <w:lang w:eastAsia="en-AU"/>
    </w:rPr>
  </w:style>
  <w:style w:type="paragraph" w:customStyle="1" w:styleId="bullets">
    <w:name w:val="bullets"/>
    <w:basedOn w:val="ListParagraph"/>
    <w:link w:val="bulletsChar"/>
    <w:qFormat/>
    <w:rsid w:val="00DF1238"/>
    <w:pPr>
      <w:spacing w:line="240" w:lineRule="auto"/>
      <w:ind w:left="0"/>
      <w:contextualSpacing w:val="0"/>
    </w:pPr>
    <w:rPr>
      <w:rFonts w:eastAsia="Times New Roman"/>
      <w:sz w:val="20"/>
      <w:szCs w:val="24"/>
    </w:rPr>
  </w:style>
  <w:style w:type="character" w:customStyle="1" w:styleId="bulletsChar">
    <w:name w:val="bullets Char"/>
    <w:basedOn w:val="DefaultParagraphFont"/>
    <w:link w:val="bullets"/>
    <w:rsid w:val="00DF1238"/>
    <w:rPr>
      <w:rFonts w:eastAsia="Times New Roman"/>
      <w:sz w:val="20"/>
      <w:szCs w:val="24"/>
    </w:rPr>
  </w:style>
  <w:style w:type="character" w:customStyle="1" w:styleId="CaptionChar">
    <w:name w:val="Caption Char"/>
    <w:aliases w:val="Table Name Char,CDM B/Caption Char,Table Caption Char,TABLE Char,Char Char,Item Char,Figure Char,Caption table Char,Figure text or caption Char"/>
    <w:basedOn w:val="DefaultParagraphFont"/>
    <w:link w:val="Caption"/>
    <w:rsid w:val="00DF1238"/>
    <w:rPr>
      <w:bCs/>
      <w:color w:val="44546A" w:themeColor="text2"/>
      <w:szCs w:val="24"/>
      <w:lang w:eastAsia="fr-CA"/>
    </w:rPr>
  </w:style>
  <w:style w:type="paragraph" w:customStyle="1" w:styleId="tabletextalluvium">
    <w:name w:val="table text alluvium"/>
    <w:basedOn w:val="Normal"/>
    <w:link w:val="tabletextalluviumChar"/>
    <w:qFormat/>
    <w:rsid w:val="00DF1238"/>
    <w:pPr>
      <w:spacing w:before="40" w:after="40" w:line="240" w:lineRule="auto"/>
    </w:pPr>
    <w:rPr>
      <w:rFonts w:eastAsia="Times New Roman"/>
      <w:sz w:val="18"/>
      <w:szCs w:val="18"/>
    </w:rPr>
  </w:style>
  <w:style w:type="character" w:customStyle="1" w:styleId="tabletextalluviumChar">
    <w:name w:val="table text alluvium Char"/>
    <w:basedOn w:val="DefaultParagraphFont"/>
    <w:link w:val="tabletextalluvium"/>
    <w:rsid w:val="00DF1238"/>
    <w:rPr>
      <w:rFonts w:eastAsia="Times New Roman"/>
      <w:sz w:val="18"/>
      <w:szCs w:val="18"/>
    </w:rPr>
  </w:style>
  <w:style w:type="table" w:customStyle="1" w:styleId="Style1">
    <w:name w:val="Style1"/>
    <w:basedOn w:val="TableNormal"/>
    <w:uiPriority w:val="99"/>
    <w:qFormat/>
    <w:rsid w:val="00DF1238"/>
    <w:pPr>
      <w:spacing w:before="40" w:after="40" w:line="240" w:lineRule="auto"/>
    </w:pPr>
    <w:rPr>
      <w:rFonts w:eastAsia="Times New Roman"/>
      <w:color w:val="000000" w:themeColor="text1"/>
      <w:sz w:val="18"/>
    </w:rPr>
    <w:tblPr>
      <w:tblBorders>
        <w:bottom w:val="single" w:sz="4" w:space="0" w:color="44546A" w:themeColor="text2"/>
        <w:insideH w:val="single" w:sz="4" w:space="0" w:color="44546A" w:themeColor="text2"/>
      </w:tblBorders>
    </w:tblPr>
  </w:style>
  <w:style w:type="paragraph" w:styleId="FootnoteText">
    <w:name w:val="footnote text"/>
    <w:basedOn w:val="Normal"/>
    <w:link w:val="FootnoteTextChar"/>
    <w:semiHidden/>
    <w:unhideWhenUsed/>
    <w:rsid w:val="00DF1238"/>
    <w:pPr>
      <w:spacing w:after="0" w:line="240" w:lineRule="auto"/>
    </w:pPr>
    <w:rPr>
      <w:rFonts w:eastAsia="Times New Roman" w:cs="Times New Roman"/>
      <w:color w:val="000000" w:themeColor="text1"/>
      <w:sz w:val="20"/>
      <w:szCs w:val="20"/>
      <w:lang w:eastAsia="en-AU"/>
    </w:rPr>
  </w:style>
  <w:style w:type="character" w:customStyle="1" w:styleId="FootnoteTextChar">
    <w:name w:val="Footnote Text Char"/>
    <w:basedOn w:val="DefaultParagraphFont"/>
    <w:link w:val="FootnoteText"/>
    <w:semiHidden/>
    <w:rsid w:val="00DF1238"/>
    <w:rPr>
      <w:rFonts w:eastAsia="Times New Roman" w:cs="Times New Roman"/>
      <w:color w:val="000000" w:themeColor="text1"/>
      <w:sz w:val="20"/>
      <w:szCs w:val="20"/>
      <w:lang w:eastAsia="en-AU"/>
    </w:rPr>
  </w:style>
  <w:style w:type="character" w:styleId="FootnoteReference">
    <w:name w:val="footnote reference"/>
    <w:basedOn w:val="DefaultParagraphFont"/>
    <w:semiHidden/>
    <w:unhideWhenUsed/>
    <w:rsid w:val="00DF1238"/>
    <w:rPr>
      <w:vertAlign w:val="superscript"/>
    </w:rPr>
  </w:style>
  <w:style w:type="paragraph" w:styleId="ListParagraph">
    <w:name w:val="List Paragraph"/>
    <w:basedOn w:val="Normal"/>
    <w:uiPriority w:val="34"/>
    <w:qFormat/>
    <w:rsid w:val="00DF1238"/>
    <w:pPr>
      <w:ind w:left="720"/>
      <w:contextualSpacing/>
    </w:pPr>
  </w:style>
  <w:style w:type="table" w:customStyle="1" w:styleId="Style11">
    <w:name w:val="Style11"/>
    <w:basedOn w:val="TableNormal"/>
    <w:uiPriority w:val="99"/>
    <w:qFormat/>
    <w:rsid w:val="00DF1238"/>
    <w:pPr>
      <w:spacing w:before="40" w:after="40" w:line="240" w:lineRule="auto"/>
    </w:pPr>
    <w:rPr>
      <w:rFonts w:eastAsia="Times New Roman"/>
      <w:color w:val="231F20"/>
      <w:sz w:val="18"/>
    </w:rPr>
    <w:tblPr>
      <w:tblBorders>
        <w:bottom w:val="single" w:sz="4" w:space="0" w:color="00428B"/>
        <w:insideH w:val="single" w:sz="4" w:space="0" w:color="00428B"/>
      </w:tblBorders>
    </w:tblPr>
  </w:style>
  <w:style w:type="table" w:styleId="TableGridLight">
    <w:name w:val="Grid Table Light"/>
    <w:basedOn w:val="TableNormal"/>
    <w:uiPriority w:val="40"/>
    <w:rsid w:val="00DF123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A442A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39"/>
    <w:rsid w:val="00A442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3">
    <w:name w:val="Grid Table 1 Light Accent 3"/>
    <w:basedOn w:val="TableNormal"/>
    <w:uiPriority w:val="46"/>
    <w:rsid w:val="00A442AC"/>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E668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68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melbournewater.com.au/about/strategies-and-reports/healthy-waterways-strategy" TargetMode="External"/><Relationship Id="rId18" Type="http://schemas.openxmlformats.org/officeDocument/2006/relationships/hyperlink" Target="https://storm.melbournewater.com.au/" TargetMode="External"/><Relationship Id="rId39" Type="http://schemas.openxmlformats.org/officeDocument/2006/relationships/image" Target="media/image5.jpg"/><Relationship Id="rId3" Type="http://schemas.openxmlformats.org/officeDocument/2006/relationships/settings" Target="settings.xml"/><Relationship Id="rId42" Type="http://schemas.openxmlformats.org/officeDocument/2006/relationships/image" Target="media/image7.jp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www.melbournewater.com.au/sites/default/files/2018-03/Music-tool-guidelines.pdf" TargetMode="External"/><Relationship Id="rId38"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2.png"/><Relationship Id="rId41" Type="http://schemas.openxmlformats.org/officeDocument/2006/relationships/image" Target="media/image11.sv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37" Type="http://schemas.openxmlformats.org/officeDocument/2006/relationships/image" Target="media/image4.emf"/><Relationship Id="rId40"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hyperlink" Target="https://journals.plos.org/plosone/article?id=10.1371/journal.pone.0045814" TargetMode="External"/><Relationship Id="rId36" Type="http://schemas.openxmlformats.org/officeDocument/2006/relationships/image" Target="media/image8.svg"/><Relationship Id="rId10" Type="http://schemas.openxmlformats.org/officeDocument/2006/relationships/footer" Target="footer2.xml"/><Relationship Id="rId19" Type="http://schemas.openxmlformats.org/officeDocument/2006/relationships/image" Target="media/image3.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1.pn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3208</Words>
  <Characters>18289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Melbourne Water</Company>
  <LinksUpToDate>false</LinksUpToDate>
  <CharactersWithSpaces>21455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Stevenson Charles</dc:creator>
  <cp:keywords/>
  <dc:description/>
  <cp:lastModifiedBy>Lisa McLennan</cp:lastModifiedBy>
  <cp:revision>2</cp:revision>
  <dcterms:created xsi:type="dcterms:W3CDTF">2021-06-27T23:41:00Z</dcterms:created>
  <dcterms:modified xsi:type="dcterms:W3CDTF">2021-06-27T23:41:00Z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1a0ea4-6344-45fe-bd17-9bfc2ab6afb4_Enabled">
    <vt:lpwstr>true</vt:lpwstr>
  </property>
  <property fmtid="{D5CDD505-2E9C-101B-9397-08002B2CF9AE}" pid="3" name="MSIP_Label_8d1a0ea4-6344-45fe-bd17-9bfc2ab6afb4_SetDate">
    <vt:lpwstr>2021-06-27T23:40:30Z</vt:lpwstr>
  </property>
  <property fmtid="{D5CDD505-2E9C-101B-9397-08002B2CF9AE}" pid="4" name="MSIP_Label_8d1a0ea4-6344-45fe-bd17-9bfc2ab6afb4_Method">
    <vt:lpwstr>Privileged</vt:lpwstr>
  </property>
  <property fmtid="{D5CDD505-2E9C-101B-9397-08002B2CF9AE}" pid="5" name="MSIP_Label_8d1a0ea4-6344-45fe-bd17-9bfc2ab6afb4_Name">
    <vt:lpwstr>OFFICIAL</vt:lpwstr>
  </property>
  <property fmtid="{D5CDD505-2E9C-101B-9397-08002B2CF9AE}" pid="6" name="MSIP_Label_8d1a0ea4-6344-45fe-bd17-9bfc2ab6afb4_SiteId">
    <vt:lpwstr>fe26127b-78ee-42c7-803e-4d67c0488cf9</vt:lpwstr>
  </property>
  <property fmtid="{D5CDD505-2E9C-101B-9397-08002B2CF9AE}" pid="7" name="MSIP_Label_8d1a0ea4-6344-45fe-bd17-9bfc2ab6afb4_ActionId">
    <vt:lpwstr>111c1f30-4d97-4f9c-a38b-ddee8c087d73</vt:lpwstr>
  </property>
  <property fmtid="{D5CDD505-2E9C-101B-9397-08002B2CF9AE}" pid="8" name="MSIP_Label_8d1a0ea4-6344-45fe-bd17-9bfc2ab6afb4_ContentBits">
    <vt:lpwstr>1</vt:lpwstr>
  </property>
</Properties>
</file>